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ascii="Arial" w:hAnsi="Arial"/>
          <w:szCs w:val="24"/>
        </w:rPr>
      </w:pPr>
      <w:bookmarkStart w:id="5" w:name="_GoBack"/>
      <w:bookmarkEnd w:id="5"/>
      <w:bookmarkStart w:id="0" w:name="OLE_LINK24"/>
      <w:bookmarkStart w:id="1" w:name="OLE_LINK34"/>
      <w:bookmarkStart w:id="2" w:name="OLE_LINK33"/>
      <w:bookmarkStart w:id="3" w:name="OLE_LINK12"/>
      <w:bookmarkStart w:id="4" w:name="OLE_LINK13"/>
      <w:r>
        <w:rPr>
          <w:rFonts w:ascii="Arial" w:hAnsi="Arial"/>
          <w:b/>
          <w:szCs w:val="24"/>
        </w:rPr>
        <w:t xml:space="preserve">3GPP TSG RAN WG1 #110bis-e                                      </w:t>
      </w:r>
      <w:r>
        <w:rPr>
          <w:rFonts w:hint="eastAsia" w:ascii="Arial" w:hAnsi="Arial"/>
          <w:b/>
          <w:szCs w:val="24"/>
          <w:lang w:val="en-US" w:eastAsia="zh-CN"/>
        </w:rPr>
        <w:t xml:space="preserve">  </w:t>
      </w:r>
      <w:r>
        <w:rPr>
          <w:rFonts w:ascii="Arial" w:hAnsi="Arial"/>
          <w:b/>
          <w:szCs w:val="24"/>
        </w:rPr>
        <w:t xml:space="preserve">  R1-2209214</w:t>
      </w:r>
    </w:p>
    <w:p>
      <w:pPr>
        <w:tabs>
          <w:tab w:val="center" w:pos="4536"/>
          <w:tab w:val="right" w:pos="8280"/>
          <w:tab w:val="right" w:pos="9639"/>
        </w:tabs>
        <w:snapToGrid w:val="0"/>
        <w:spacing w:after="0" w:line="240" w:lineRule="auto"/>
        <w:ind w:left="442" w:right="2" w:hanging="442" w:hangingChars="200"/>
        <w:jc w:val="both"/>
        <w:rPr>
          <w:rFonts w:ascii="Arial" w:hAnsi="Arial"/>
          <w:b/>
          <w:szCs w:val="24"/>
        </w:rPr>
      </w:pPr>
      <w:r>
        <w:rPr>
          <w:rFonts w:ascii="Arial" w:hAnsi="Arial"/>
          <w:b/>
          <w:szCs w:val="24"/>
        </w:rPr>
        <w:t>e-meeting, Oct, 10</w:t>
      </w:r>
      <w:r>
        <w:rPr>
          <w:rFonts w:ascii="Arial" w:hAnsi="Arial"/>
          <w:b/>
          <w:szCs w:val="24"/>
          <w:vertAlign w:val="superscript"/>
        </w:rPr>
        <w:t>th</w:t>
      </w:r>
      <w:r>
        <w:rPr>
          <w:rFonts w:ascii="Arial" w:hAnsi="Arial"/>
          <w:b/>
          <w:szCs w:val="24"/>
        </w:rPr>
        <w:t xml:space="preserve"> – 19</w:t>
      </w:r>
      <w:r>
        <w:rPr>
          <w:rFonts w:ascii="Arial" w:hAnsi="Arial"/>
          <w:b/>
          <w:szCs w:val="24"/>
          <w:vertAlign w:val="superscript"/>
        </w:rPr>
        <w:t>th</w:t>
      </w:r>
      <w:r>
        <w:rPr>
          <w:rFonts w:ascii="Arial" w:hAnsi="Arial"/>
          <w:b/>
          <w:szCs w:val="24"/>
        </w:rPr>
        <w:t>, 2022</w:t>
      </w:r>
    </w:p>
    <w:p>
      <w:pPr>
        <w:tabs>
          <w:tab w:val="center" w:pos="4536"/>
          <w:tab w:val="right" w:pos="8280"/>
          <w:tab w:val="right" w:pos="9639"/>
        </w:tabs>
        <w:snapToGrid w:val="0"/>
        <w:spacing w:after="0" w:line="240" w:lineRule="auto"/>
        <w:ind w:right="2"/>
        <w:jc w:val="both"/>
        <w:rPr>
          <w:rFonts w:ascii="Arial" w:hAnsi="Arial"/>
          <w:b/>
          <w:szCs w:val="24"/>
        </w:rPr>
      </w:pPr>
    </w:p>
    <w:p>
      <w:pPr>
        <w:tabs>
          <w:tab w:val="center" w:pos="4536"/>
          <w:tab w:val="right" w:pos="8280"/>
          <w:tab w:val="right" w:pos="9639"/>
        </w:tabs>
        <w:snapToGrid w:val="0"/>
        <w:spacing w:after="0" w:line="240" w:lineRule="auto"/>
        <w:ind w:left="442" w:right="2" w:hanging="442" w:hangingChars="200"/>
        <w:jc w:val="both"/>
        <w:rPr>
          <w:rFonts w:ascii="Arial" w:hAnsi="Arial"/>
          <w:b/>
          <w:szCs w:val="24"/>
        </w:rPr>
      </w:pPr>
      <w:r>
        <w:rPr>
          <w:rFonts w:ascii="Arial" w:hAnsi="Arial"/>
          <w:b/>
          <w:szCs w:val="24"/>
        </w:rPr>
        <w:t>Source:         ZTE</w:t>
      </w:r>
    </w:p>
    <w:p>
      <w:pPr>
        <w:tabs>
          <w:tab w:val="center" w:pos="4536"/>
          <w:tab w:val="right" w:pos="8280"/>
          <w:tab w:val="right" w:pos="9639"/>
        </w:tabs>
        <w:snapToGrid w:val="0"/>
        <w:spacing w:after="0" w:line="240" w:lineRule="auto"/>
        <w:ind w:left="1988" w:right="2" w:hanging="1988" w:hangingChars="900"/>
        <w:jc w:val="both"/>
        <w:rPr>
          <w:rFonts w:ascii="Arial" w:hAnsi="Arial"/>
          <w:b/>
          <w:szCs w:val="24"/>
        </w:rPr>
      </w:pPr>
      <w:r>
        <w:rPr>
          <w:rFonts w:ascii="Arial" w:hAnsi="Arial"/>
          <w:b/>
          <w:szCs w:val="24"/>
        </w:rPr>
        <w:t>Title:            Discussion on integrity of RAT dependent positioning</w:t>
      </w:r>
    </w:p>
    <w:p>
      <w:pPr>
        <w:tabs>
          <w:tab w:val="center" w:pos="4536"/>
          <w:tab w:val="right" w:pos="8280"/>
          <w:tab w:val="right" w:pos="9639"/>
        </w:tabs>
        <w:snapToGrid w:val="0"/>
        <w:spacing w:after="0" w:line="240" w:lineRule="auto"/>
        <w:ind w:left="442" w:right="2" w:hanging="442" w:hangingChars="200"/>
        <w:jc w:val="both"/>
        <w:rPr>
          <w:rFonts w:ascii="Arial" w:hAnsi="Arial"/>
          <w:b/>
          <w:szCs w:val="24"/>
        </w:rPr>
      </w:pPr>
      <w:r>
        <w:rPr>
          <w:rFonts w:ascii="Arial" w:hAnsi="Arial"/>
          <w:b/>
          <w:szCs w:val="24"/>
        </w:rPr>
        <w:t>Agenda item:    9.5.2.1</w:t>
      </w:r>
    </w:p>
    <w:p>
      <w:pPr>
        <w:pBdr>
          <w:bottom w:val="single" w:color="auto" w:sz="6" w:space="1"/>
        </w:pBdr>
        <w:snapToGrid w:val="0"/>
        <w:spacing w:after="0" w:line="240" w:lineRule="auto"/>
        <w:ind w:left="1797" w:hanging="1797"/>
        <w:jc w:val="both"/>
        <w:rPr>
          <w:rFonts w:ascii="Arial" w:hAnsi="Arial"/>
          <w:b/>
          <w:szCs w:val="24"/>
        </w:rPr>
      </w:pPr>
      <w:r>
        <w:rPr>
          <w:rFonts w:ascii="Arial" w:hAnsi="Arial"/>
          <w:b/>
          <w:szCs w:val="24"/>
        </w:rPr>
        <w:t>Document for:</w:t>
      </w:r>
      <w:r>
        <w:rPr>
          <w:rFonts w:ascii="Arial" w:hAnsi="Arial"/>
          <w:b/>
          <w:szCs w:val="24"/>
          <w:lang w:eastAsia="ja-JP"/>
        </w:rPr>
        <w:tab/>
      </w:r>
      <w:r>
        <w:rPr>
          <w:rFonts w:ascii="Arial" w:hAnsi="Arial"/>
          <w:b/>
          <w:szCs w:val="24"/>
          <w:lang w:eastAsia="ja-JP"/>
        </w:rPr>
        <w:t>Discussion and Decision</w:t>
      </w:r>
    </w:p>
    <w:p>
      <w:pPr>
        <w:pStyle w:val="2"/>
        <w:topLinePunct/>
        <w:snapToGrid w:val="0"/>
        <w:spacing w:before="180" w:beforeLines="50" w:after="180" w:afterLines="50"/>
        <w:ind w:left="431" w:hanging="431"/>
        <w:jc w:val="both"/>
        <w:rPr>
          <w:sz w:val="28"/>
          <w:lang w:val="en-US"/>
        </w:rPr>
      </w:pPr>
      <w:r>
        <w:rPr>
          <w:sz w:val="28"/>
          <w:lang w:val="en-US"/>
        </w:rPr>
        <w:t>Introduction</w:t>
      </w:r>
    </w:p>
    <w:p>
      <w:pPr>
        <w:topLinePunct/>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In RAN#110 meeting, the following agreements were achieved for integrity of RAT dependent positioning.</w:t>
      </w:r>
    </w:p>
    <w:tbl>
      <w:tblPr>
        <w:tblStyle w:val="23"/>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1" w:hRule="atLeast"/>
        </w:trPr>
        <w:tc>
          <w:tcPr>
            <w:tcW w:w="9302" w:type="dxa"/>
          </w:tcPr>
          <w:p>
            <w:pPr>
              <w:topLinePunct/>
              <w:snapToGrid w:val="0"/>
              <w:spacing w:before="180" w:beforeLines="50" w:after="180" w:afterLines="50" w:line="240" w:lineRule="auto"/>
              <w:jc w:val="both"/>
              <w:rPr>
                <w:rFonts w:ascii="Times New Roman" w:hAnsi="Times New Roman"/>
                <w:b/>
                <w:sz w:val="20"/>
                <w:szCs w:val="24"/>
                <w:lang w:val="en-CA"/>
              </w:rPr>
            </w:pPr>
            <w:r>
              <w:rPr>
                <w:rFonts w:ascii="Times New Roman" w:hAnsi="Times New Roman"/>
                <w:b/>
                <w:sz w:val="20"/>
                <w:szCs w:val="24"/>
                <w:lang w:val="en-CA"/>
              </w:rPr>
              <w:t>Agreement</w:t>
            </w:r>
          </w:p>
          <w:p>
            <w:pPr>
              <w:pStyle w:val="90"/>
              <w:numPr>
                <w:ilvl w:val="0"/>
                <w:numId w:val="3"/>
              </w:numPr>
              <w:topLinePunct/>
              <w:snapToGrid w:val="0"/>
              <w:spacing w:before="180" w:beforeLines="50" w:afterLines="50" w:line="240" w:lineRule="auto"/>
              <w:contextualSpacing w:val="0"/>
              <w:jc w:val="both"/>
              <w:rPr>
                <w:sz w:val="20"/>
                <w:lang w:val="en-CA" w:eastAsia="zh-CN"/>
              </w:rPr>
            </w:pPr>
            <w:r>
              <w:rPr>
                <w:sz w:val="20"/>
                <w:lang w:val="en-CA" w:eastAsia="zh-CN"/>
              </w:rPr>
              <w:t>For LMF-based positioning integrity mode, at least the followings are error sources for timing related measurements :</w:t>
            </w:r>
          </w:p>
          <w:p>
            <w:pPr>
              <w:pStyle w:val="90"/>
              <w:numPr>
                <w:ilvl w:val="1"/>
                <w:numId w:val="3"/>
              </w:numPr>
              <w:topLinePunct/>
              <w:snapToGrid w:val="0"/>
              <w:spacing w:before="180" w:beforeLines="50" w:afterLines="50" w:line="240" w:lineRule="auto"/>
              <w:contextualSpacing w:val="0"/>
              <w:jc w:val="both"/>
              <w:rPr>
                <w:sz w:val="20"/>
                <w:lang w:val="en-CA" w:eastAsia="zh-CN"/>
              </w:rPr>
            </w:pPr>
            <w:r>
              <w:rPr>
                <w:rFonts w:eastAsia="等线"/>
                <w:sz w:val="20"/>
                <w:lang w:val="en-CA" w:eastAsia="zh-CN"/>
              </w:rPr>
              <w:t xml:space="preserve">RSTD measurement is an error source for DL-TDOA </w:t>
            </w:r>
          </w:p>
          <w:p>
            <w:pPr>
              <w:pStyle w:val="90"/>
              <w:numPr>
                <w:ilvl w:val="1"/>
                <w:numId w:val="3"/>
              </w:numPr>
              <w:topLinePunct/>
              <w:snapToGrid w:val="0"/>
              <w:spacing w:before="180" w:beforeLines="50" w:afterLines="50" w:line="240" w:lineRule="auto"/>
              <w:contextualSpacing w:val="0"/>
              <w:jc w:val="both"/>
              <w:rPr>
                <w:sz w:val="20"/>
                <w:lang w:val="en-CA" w:eastAsia="zh-CN"/>
              </w:rPr>
            </w:pPr>
            <w:r>
              <w:rPr>
                <w:sz w:val="20"/>
                <w:lang w:val="en-CA" w:eastAsia="zh-CN"/>
              </w:rPr>
              <w:t xml:space="preserve">RTOA </w:t>
            </w:r>
            <w:r>
              <w:rPr>
                <w:rFonts w:eastAsia="等线"/>
                <w:sz w:val="20"/>
                <w:lang w:val="en-CA" w:eastAsia="zh-CN"/>
              </w:rPr>
              <w:t xml:space="preserve">measurement is an error source for </w:t>
            </w:r>
            <w:r>
              <w:rPr>
                <w:sz w:val="20"/>
                <w:lang w:val="en-CA" w:eastAsia="zh-CN"/>
              </w:rPr>
              <w:t>UL-TDOA</w:t>
            </w:r>
          </w:p>
          <w:p>
            <w:pPr>
              <w:pStyle w:val="90"/>
              <w:numPr>
                <w:ilvl w:val="1"/>
                <w:numId w:val="3"/>
              </w:numPr>
              <w:topLinePunct/>
              <w:snapToGrid w:val="0"/>
              <w:spacing w:before="180" w:beforeLines="50" w:afterLines="50" w:line="240" w:lineRule="auto"/>
              <w:contextualSpacing w:val="0"/>
              <w:jc w:val="both"/>
              <w:rPr>
                <w:sz w:val="20"/>
                <w:lang w:val="en-CA" w:eastAsia="zh-CN"/>
              </w:rPr>
            </w:pPr>
            <w:r>
              <w:rPr>
                <w:sz w:val="20"/>
                <w:lang w:val="en-CA" w:eastAsia="zh-CN"/>
              </w:rPr>
              <w:t xml:space="preserve">UE Rx-Tx time difference </w:t>
            </w:r>
            <w:r>
              <w:rPr>
                <w:rFonts w:eastAsia="等线"/>
                <w:sz w:val="20"/>
                <w:lang w:val="en-CA" w:eastAsia="zh-CN"/>
              </w:rPr>
              <w:t xml:space="preserve">measurement is an error source for </w:t>
            </w:r>
            <w:r>
              <w:rPr>
                <w:sz w:val="20"/>
                <w:lang w:val="en-CA" w:eastAsia="zh-CN"/>
              </w:rPr>
              <w:t>Multi-RTT</w:t>
            </w:r>
          </w:p>
          <w:p>
            <w:pPr>
              <w:pStyle w:val="90"/>
              <w:numPr>
                <w:ilvl w:val="1"/>
                <w:numId w:val="3"/>
              </w:numPr>
              <w:topLinePunct/>
              <w:snapToGrid w:val="0"/>
              <w:spacing w:before="180" w:beforeLines="50" w:afterLines="50" w:line="240" w:lineRule="auto"/>
              <w:contextualSpacing w:val="0"/>
              <w:jc w:val="both"/>
              <w:rPr>
                <w:sz w:val="20"/>
                <w:lang w:val="en-CA" w:eastAsia="zh-CN"/>
              </w:rPr>
            </w:pPr>
            <w:r>
              <w:rPr>
                <w:sz w:val="20"/>
                <w:lang w:val="en-CA" w:eastAsia="zh-CN"/>
              </w:rPr>
              <w:t xml:space="preserve">gNB Rx-Tx time difference </w:t>
            </w:r>
            <w:r>
              <w:rPr>
                <w:rFonts w:eastAsia="等线"/>
                <w:sz w:val="20"/>
                <w:lang w:val="en-CA" w:eastAsia="zh-CN"/>
              </w:rPr>
              <w:t xml:space="preserve">measurement is an error source for </w:t>
            </w:r>
            <w:r>
              <w:rPr>
                <w:sz w:val="20"/>
                <w:lang w:val="en-CA" w:eastAsia="zh-CN"/>
              </w:rPr>
              <w:t>Multi-RTT</w:t>
            </w:r>
          </w:p>
          <w:p>
            <w:pPr>
              <w:pStyle w:val="90"/>
              <w:numPr>
                <w:ilvl w:val="0"/>
                <w:numId w:val="3"/>
              </w:numPr>
              <w:topLinePunct/>
              <w:snapToGrid w:val="0"/>
              <w:spacing w:before="180" w:beforeLines="50" w:afterLines="50" w:line="240" w:lineRule="auto"/>
              <w:contextualSpacing w:val="0"/>
              <w:jc w:val="both"/>
              <w:rPr>
                <w:sz w:val="20"/>
                <w:lang w:val="en-CA" w:eastAsia="zh-CN"/>
              </w:rPr>
            </w:pPr>
            <w:r>
              <w:rPr>
                <w:sz w:val="20"/>
                <w:lang w:val="en-CA" w:eastAsia="zh-CN"/>
              </w:rPr>
              <w:t>FFS : Model of the error source (e.g., distribution, mean and/or standard deviation for integrity overbounding model, range)</w:t>
            </w:r>
          </w:p>
          <w:p>
            <w:pPr>
              <w:pStyle w:val="90"/>
              <w:numPr>
                <w:ilvl w:val="0"/>
                <w:numId w:val="3"/>
              </w:numPr>
              <w:topLinePunct/>
              <w:snapToGrid w:val="0"/>
              <w:spacing w:before="180" w:beforeLines="50" w:afterLines="50" w:line="240" w:lineRule="auto"/>
              <w:contextualSpacing w:val="0"/>
              <w:jc w:val="both"/>
              <w:rPr>
                <w:sz w:val="20"/>
              </w:rPr>
            </w:pPr>
            <w:r>
              <w:rPr>
                <w:sz w:val="20"/>
                <w:lang w:val="en-CA" w:eastAsia="zh-CN"/>
              </w:rPr>
              <w:t>Note : Definition of “LMF-based positioning integrity mode” can be found in Table 9.4.1.1.1 in TR 38.857</w:t>
            </w:r>
          </w:p>
          <w:p>
            <w:pPr>
              <w:topLinePunct/>
              <w:snapToGrid w:val="0"/>
              <w:spacing w:before="180" w:beforeLines="50" w:after="180" w:afterLines="50" w:line="240" w:lineRule="auto"/>
              <w:jc w:val="both"/>
              <w:rPr>
                <w:rFonts w:ascii="Times New Roman" w:hAnsi="Times New Roman"/>
                <w:b/>
                <w:sz w:val="20"/>
                <w:szCs w:val="24"/>
                <w:lang w:val="en-CA"/>
              </w:rPr>
            </w:pPr>
            <w:r>
              <w:rPr>
                <w:rFonts w:ascii="Times New Roman" w:hAnsi="Times New Roman"/>
                <w:b/>
                <w:sz w:val="20"/>
                <w:szCs w:val="24"/>
                <w:lang w:val="en-CA"/>
              </w:rPr>
              <w:t>Agreement</w:t>
            </w:r>
          </w:p>
          <w:p>
            <w:pPr>
              <w:pStyle w:val="90"/>
              <w:numPr>
                <w:ilvl w:val="0"/>
                <w:numId w:val="3"/>
              </w:numPr>
              <w:topLinePunct/>
              <w:snapToGrid w:val="0"/>
              <w:spacing w:before="180" w:beforeLines="50" w:afterLines="50" w:line="240" w:lineRule="auto"/>
              <w:contextualSpacing w:val="0"/>
              <w:jc w:val="both"/>
              <w:rPr>
                <w:sz w:val="20"/>
                <w:lang w:val="en-CA" w:eastAsia="zh-CN"/>
              </w:rPr>
            </w:pPr>
            <w:r>
              <w:rPr>
                <w:sz w:val="20"/>
                <w:lang w:val="en-CA" w:eastAsia="zh-CN"/>
              </w:rPr>
              <w:t>For LMF-based positioning integrity mode, at least angle of arrival measurement is an error source for UL-AoA</w:t>
            </w:r>
          </w:p>
          <w:p>
            <w:pPr>
              <w:pStyle w:val="90"/>
              <w:numPr>
                <w:ilvl w:val="0"/>
                <w:numId w:val="3"/>
              </w:numPr>
              <w:topLinePunct/>
              <w:snapToGrid w:val="0"/>
              <w:spacing w:before="180" w:beforeLines="50" w:afterLines="50" w:line="240" w:lineRule="auto"/>
              <w:contextualSpacing w:val="0"/>
              <w:jc w:val="both"/>
              <w:rPr>
                <w:sz w:val="20"/>
                <w:lang w:val="en-CA" w:eastAsia="zh-CN"/>
              </w:rPr>
            </w:pPr>
            <w:r>
              <w:rPr>
                <w:sz w:val="20"/>
                <w:lang w:val="en-CA" w:eastAsia="zh-CN"/>
              </w:rPr>
              <w:t>FFS : Model of the error source (e.g., distribution, mean and/or standard deviation for integrity overbounding model, range)</w:t>
            </w:r>
          </w:p>
          <w:p>
            <w:pPr>
              <w:pStyle w:val="90"/>
              <w:numPr>
                <w:ilvl w:val="0"/>
                <w:numId w:val="3"/>
              </w:numPr>
              <w:topLinePunct/>
              <w:snapToGrid w:val="0"/>
              <w:spacing w:before="180" w:beforeLines="50" w:afterLines="50" w:line="240" w:lineRule="auto"/>
              <w:contextualSpacing w:val="0"/>
              <w:jc w:val="both"/>
              <w:rPr>
                <w:sz w:val="20"/>
                <w:lang w:val="en-CA" w:eastAsia="zh-CN"/>
              </w:rPr>
            </w:pPr>
            <w:r>
              <w:rPr>
                <w:rFonts w:eastAsia="等线"/>
                <w:sz w:val="20"/>
                <w:lang w:val="en-CA" w:eastAsia="zh-CN"/>
              </w:rPr>
              <w:t>FFS: The error can be expressed as the error of the AoA/ZoA in LCS or GCS or the error of a defined function of AoA/ZoA in LCS.</w:t>
            </w:r>
          </w:p>
          <w:p>
            <w:pPr>
              <w:pStyle w:val="90"/>
              <w:numPr>
                <w:ilvl w:val="0"/>
                <w:numId w:val="3"/>
              </w:numPr>
              <w:topLinePunct/>
              <w:snapToGrid w:val="0"/>
              <w:spacing w:before="180" w:beforeLines="50" w:afterLines="50" w:line="240" w:lineRule="auto"/>
              <w:contextualSpacing w:val="0"/>
              <w:jc w:val="both"/>
              <w:rPr>
                <w:sz w:val="20"/>
                <w:lang w:val="en-CA" w:eastAsia="zh-CN"/>
              </w:rPr>
            </w:pPr>
            <w:r>
              <w:rPr>
                <w:sz w:val="20"/>
                <w:lang w:val="en-CA" w:eastAsia="zh-CN"/>
              </w:rPr>
              <w:t>Note : Definition of “LMF-based positioning integrity mode” can be found in Table 9.4.1.1.1 in TR 38.857</w:t>
            </w:r>
          </w:p>
          <w:p>
            <w:pPr>
              <w:topLinePunct/>
              <w:snapToGrid w:val="0"/>
              <w:spacing w:before="180" w:beforeLines="50" w:after="180" w:afterLines="50" w:line="240" w:lineRule="auto"/>
              <w:jc w:val="both"/>
              <w:rPr>
                <w:rFonts w:ascii="Times New Roman" w:hAnsi="Times New Roman"/>
                <w:b/>
                <w:sz w:val="20"/>
                <w:szCs w:val="24"/>
                <w:lang w:val="en-CA"/>
              </w:rPr>
            </w:pPr>
            <w:r>
              <w:rPr>
                <w:rFonts w:ascii="Times New Roman" w:hAnsi="Times New Roman"/>
                <w:b/>
                <w:sz w:val="20"/>
                <w:szCs w:val="24"/>
                <w:lang w:val="en-CA"/>
              </w:rPr>
              <w:t>Agreement</w:t>
            </w:r>
          </w:p>
          <w:p>
            <w:pPr>
              <w:topLinePunct/>
              <w:snapToGrid w:val="0"/>
              <w:spacing w:before="180" w:beforeLines="50" w:after="180" w:afterLines="50" w:line="240" w:lineRule="auto"/>
              <w:jc w:val="both"/>
              <w:rPr>
                <w:rFonts w:ascii="Times New Roman" w:hAnsi="Times New Roman"/>
                <w:sz w:val="20"/>
                <w:szCs w:val="24"/>
                <w:lang w:val="en-CA"/>
              </w:rPr>
            </w:pPr>
            <w:r>
              <w:rPr>
                <w:rFonts w:ascii="Times New Roman" w:hAnsi="Times New Roman"/>
                <w:sz w:val="20"/>
                <w:szCs w:val="24"/>
                <w:lang w:val="en-CA"/>
              </w:rPr>
              <w:t xml:space="preserve">For UE-based positioning integrity mode, at least the following are error sources in assistance data : </w:t>
            </w:r>
          </w:p>
          <w:p>
            <w:pPr>
              <w:pStyle w:val="90"/>
              <w:numPr>
                <w:ilvl w:val="0"/>
                <w:numId w:val="3"/>
              </w:numPr>
              <w:topLinePunct/>
              <w:snapToGrid w:val="0"/>
              <w:spacing w:before="180" w:beforeLines="50" w:afterLines="50" w:line="240" w:lineRule="auto"/>
              <w:contextualSpacing w:val="0"/>
              <w:jc w:val="both"/>
              <w:rPr>
                <w:sz w:val="20"/>
                <w:lang w:val="en-CA" w:eastAsia="zh-CN"/>
              </w:rPr>
            </w:pPr>
            <w:r>
              <w:rPr>
                <w:sz w:val="20"/>
                <w:lang w:val="en-CA" w:eastAsia="zh-CN"/>
              </w:rPr>
              <w:t>TRP location (e.g., NR-TRP-LocationInfo in TS 37.355) and Inter-TRP synchronization (e.g., NR-RTD-Info in TS 37.355) are error sources for DL-TDOA</w:t>
            </w:r>
          </w:p>
          <w:p>
            <w:pPr>
              <w:pStyle w:val="90"/>
              <w:numPr>
                <w:ilvl w:val="0"/>
                <w:numId w:val="3"/>
              </w:numPr>
              <w:topLinePunct/>
              <w:snapToGrid w:val="0"/>
              <w:spacing w:before="180" w:beforeLines="50" w:afterLines="50" w:line="240" w:lineRule="auto"/>
              <w:contextualSpacing w:val="0"/>
              <w:jc w:val="both"/>
              <w:rPr>
                <w:sz w:val="20"/>
                <w:lang w:val="en-CA" w:eastAsia="zh-CN"/>
              </w:rPr>
            </w:pPr>
            <w:r>
              <w:rPr>
                <w:sz w:val="20"/>
                <w:lang w:val="en-CA" w:eastAsia="zh-CN"/>
              </w:rPr>
              <w:t>TRP location (e.g., NR-TRP-LocationInfo in TS 37.355) is an error source for DL-AoD</w:t>
            </w:r>
          </w:p>
          <w:p>
            <w:pPr>
              <w:pStyle w:val="90"/>
              <w:numPr>
                <w:ilvl w:val="1"/>
                <w:numId w:val="3"/>
              </w:numPr>
              <w:topLinePunct/>
              <w:snapToGrid w:val="0"/>
              <w:spacing w:before="180" w:beforeLines="50" w:afterLines="50" w:line="240" w:lineRule="auto"/>
              <w:contextualSpacing w:val="0"/>
              <w:jc w:val="both"/>
              <w:rPr>
                <w:sz w:val="20"/>
                <w:lang w:val="en-CA" w:eastAsia="zh-CN"/>
              </w:rPr>
            </w:pPr>
            <w:r>
              <w:rPr>
                <w:sz w:val="20"/>
                <w:lang w:val="en-CA" w:eastAsia="zh-CN"/>
              </w:rPr>
              <w:t>FFS: whether boresight direction of DL-PRS (e.g., NR-DL-PRS-BeamInfo in TS 37.355) is an error source</w:t>
            </w:r>
          </w:p>
          <w:p>
            <w:pPr>
              <w:pStyle w:val="90"/>
              <w:numPr>
                <w:ilvl w:val="1"/>
                <w:numId w:val="3"/>
              </w:numPr>
              <w:topLinePunct/>
              <w:snapToGrid w:val="0"/>
              <w:spacing w:before="180" w:beforeLines="50" w:afterLines="50" w:line="240" w:lineRule="auto"/>
              <w:contextualSpacing w:val="0"/>
              <w:jc w:val="both"/>
              <w:rPr>
                <w:sz w:val="20"/>
                <w:lang w:val="en-CA" w:eastAsia="zh-CN"/>
              </w:rPr>
            </w:pPr>
            <w:r>
              <w:rPr>
                <w:sz w:val="20"/>
                <w:lang w:val="en-CA" w:eastAsia="zh-CN"/>
              </w:rPr>
              <w:t xml:space="preserve">FFS: whether beam information of DL-PRS (e.g., NR-TRP-BeamAntennaInfo in TS 37.355) is an error source </w:t>
            </w:r>
          </w:p>
          <w:p>
            <w:pPr>
              <w:pStyle w:val="90"/>
              <w:numPr>
                <w:ilvl w:val="0"/>
                <w:numId w:val="3"/>
              </w:numPr>
              <w:topLinePunct/>
              <w:snapToGrid w:val="0"/>
              <w:spacing w:before="180" w:beforeLines="50" w:afterLines="50" w:line="240" w:lineRule="auto"/>
              <w:contextualSpacing w:val="0"/>
              <w:jc w:val="both"/>
              <w:rPr>
                <w:sz w:val="20"/>
                <w:lang w:val="en-CA" w:eastAsia="zh-CN"/>
              </w:rPr>
            </w:pPr>
            <w:r>
              <w:rPr>
                <w:sz w:val="20"/>
                <w:lang w:val="en-CA" w:eastAsia="zh-CN"/>
              </w:rPr>
              <w:t>FFS : Model of the error source (e.g., distribution, mean and/or standard deviation for integrity overbounding model, range)</w:t>
            </w:r>
          </w:p>
          <w:p>
            <w:pPr>
              <w:pStyle w:val="90"/>
              <w:numPr>
                <w:ilvl w:val="0"/>
                <w:numId w:val="3"/>
              </w:numPr>
              <w:topLinePunct/>
              <w:snapToGrid w:val="0"/>
              <w:spacing w:before="180" w:beforeLines="50" w:afterLines="50" w:line="240" w:lineRule="auto"/>
              <w:contextualSpacing w:val="0"/>
              <w:jc w:val="both"/>
              <w:rPr>
                <w:sz w:val="20"/>
                <w:lang w:val="en-CA" w:eastAsia="zh-CN"/>
              </w:rPr>
            </w:pPr>
            <w:r>
              <w:rPr>
                <w:sz w:val="20"/>
                <w:lang w:val="en-CA" w:eastAsia="zh-CN"/>
              </w:rPr>
              <w:t>Other error sources are not precluded</w:t>
            </w:r>
          </w:p>
          <w:p>
            <w:pPr>
              <w:pStyle w:val="90"/>
              <w:numPr>
                <w:ilvl w:val="0"/>
                <w:numId w:val="3"/>
              </w:numPr>
              <w:topLinePunct/>
              <w:snapToGrid w:val="0"/>
              <w:spacing w:before="180" w:beforeLines="50" w:afterLines="50" w:line="240" w:lineRule="auto"/>
              <w:contextualSpacing w:val="0"/>
              <w:jc w:val="both"/>
              <w:rPr>
                <w:sz w:val="20"/>
                <w:lang w:val="en-CA" w:eastAsia="zh-CN"/>
              </w:rPr>
            </w:pPr>
            <w:r>
              <w:rPr>
                <w:sz w:val="20"/>
                <w:lang w:val="en-CA" w:eastAsia="zh-CN"/>
              </w:rPr>
              <w:t>FFS : Applicability of the above error sources to LMF-based positioning integrity mode</w:t>
            </w:r>
          </w:p>
          <w:p>
            <w:pPr>
              <w:pStyle w:val="90"/>
              <w:numPr>
                <w:ilvl w:val="0"/>
                <w:numId w:val="3"/>
              </w:numPr>
              <w:topLinePunct/>
              <w:snapToGrid w:val="0"/>
              <w:spacing w:before="180" w:beforeLines="50" w:afterLines="50" w:line="240" w:lineRule="auto"/>
              <w:contextualSpacing w:val="0"/>
              <w:jc w:val="both"/>
              <w:rPr>
                <w:sz w:val="20"/>
                <w:lang w:val="en-CA" w:eastAsia="zh-CN"/>
              </w:rPr>
            </w:pPr>
            <w:r>
              <w:rPr>
                <w:sz w:val="20"/>
                <w:lang w:val="en-CA" w:eastAsia="zh-CN"/>
              </w:rPr>
              <w:t>Note : Definition of “UE-based positioning integrity mode” can be found in Table 9.4.1.1.1 in TR 38.857</w:t>
            </w:r>
          </w:p>
          <w:p>
            <w:pPr>
              <w:topLinePunct/>
              <w:snapToGrid w:val="0"/>
              <w:spacing w:before="180" w:beforeLines="50" w:after="180" w:afterLines="50" w:line="240" w:lineRule="auto"/>
              <w:jc w:val="both"/>
              <w:rPr>
                <w:rFonts w:ascii="Times New Roman" w:hAnsi="Times New Roman"/>
                <w:b/>
                <w:sz w:val="20"/>
                <w:szCs w:val="24"/>
                <w:lang w:val="en-CA"/>
              </w:rPr>
            </w:pPr>
            <w:r>
              <w:rPr>
                <w:rFonts w:ascii="Times New Roman" w:hAnsi="Times New Roman"/>
                <w:b/>
                <w:sz w:val="20"/>
                <w:szCs w:val="24"/>
                <w:lang w:val="en-CA"/>
              </w:rPr>
              <w:t>Agreement</w:t>
            </w:r>
          </w:p>
          <w:p>
            <w:pPr>
              <w:topLinePunct/>
              <w:snapToGrid w:val="0"/>
              <w:spacing w:before="180" w:beforeLines="50" w:after="180" w:afterLines="50" w:line="240" w:lineRule="auto"/>
              <w:jc w:val="both"/>
              <w:rPr>
                <w:rFonts w:ascii="Times New Roman" w:hAnsi="Times New Roman"/>
                <w:sz w:val="20"/>
                <w:szCs w:val="24"/>
                <w:lang w:val="en-CA"/>
              </w:rPr>
            </w:pPr>
            <w:r>
              <w:rPr>
                <w:rFonts w:ascii="Times New Roman" w:hAnsi="Times New Roman"/>
                <w:sz w:val="20"/>
                <w:szCs w:val="24"/>
                <w:lang w:val="en-CA"/>
              </w:rPr>
              <w:t xml:space="preserve">For LMF-based positioning integrity mode, ARP location (e.g., </w:t>
            </w:r>
            <w:r>
              <w:rPr>
                <w:rFonts w:ascii="Times New Roman" w:hAnsi="Times New Roman"/>
                <w:snapToGrid w:val="0"/>
                <w:sz w:val="20"/>
                <w:szCs w:val="24"/>
              </w:rPr>
              <w:t>ARPLocationInformation </w:t>
            </w:r>
            <w:r>
              <w:rPr>
                <w:rFonts w:ascii="Times New Roman" w:hAnsi="Times New Roman"/>
                <w:sz w:val="20"/>
                <w:szCs w:val="24"/>
                <w:lang w:val="en-CA"/>
              </w:rPr>
              <w:t>in TS 38.455) is an error source for UL-AoA.</w:t>
            </w:r>
          </w:p>
          <w:p>
            <w:pPr>
              <w:pStyle w:val="90"/>
              <w:numPr>
                <w:ilvl w:val="0"/>
                <w:numId w:val="3"/>
              </w:numPr>
              <w:topLinePunct/>
              <w:snapToGrid w:val="0"/>
              <w:spacing w:before="180" w:beforeLines="50" w:afterLines="50" w:line="240" w:lineRule="auto"/>
              <w:contextualSpacing w:val="0"/>
              <w:jc w:val="both"/>
              <w:rPr>
                <w:sz w:val="20"/>
                <w:lang w:val="en-CA" w:eastAsia="zh-CN"/>
              </w:rPr>
            </w:pPr>
            <w:r>
              <w:rPr>
                <w:sz w:val="20"/>
                <w:lang w:val="en-CA" w:eastAsia="zh-CN"/>
              </w:rPr>
              <w:t>FFS : Model of the error source (e.g., distribution, mean and/or standard deviation for integrity)</w:t>
            </w:r>
          </w:p>
          <w:p>
            <w:pPr>
              <w:pStyle w:val="90"/>
              <w:numPr>
                <w:ilvl w:val="0"/>
                <w:numId w:val="3"/>
              </w:numPr>
              <w:topLinePunct/>
              <w:snapToGrid w:val="0"/>
              <w:spacing w:before="180" w:beforeLines="50" w:afterLines="50" w:line="240" w:lineRule="auto"/>
              <w:contextualSpacing w:val="0"/>
              <w:jc w:val="both"/>
              <w:rPr>
                <w:sz w:val="20"/>
                <w:lang w:val="en-CA" w:eastAsia="zh-CN"/>
              </w:rPr>
            </w:pPr>
            <w:r>
              <w:rPr>
                <w:sz w:val="20"/>
                <w:lang w:val="en-CA" w:eastAsia="zh-CN"/>
              </w:rPr>
              <w:t>Note : Definition of “LMF-based positioning integrity mode” can be found in Table 9.4.1.1.1 in TR 38.857</w:t>
            </w:r>
          </w:p>
          <w:p>
            <w:pPr>
              <w:pStyle w:val="90"/>
              <w:numPr>
                <w:ilvl w:val="0"/>
                <w:numId w:val="3"/>
              </w:numPr>
              <w:topLinePunct/>
              <w:snapToGrid w:val="0"/>
              <w:spacing w:before="180" w:beforeLines="50" w:afterLines="50" w:line="240" w:lineRule="auto"/>
              <w:contextualSpacing w:val="0"/>
              <w:jc w:val="both"/>
              <w:rPr>
                <w:sz w:val="20"/>
                <w:lang w:val="en-CA" w:eastAsia="zh-CN"/>
              </w:rPr>
            </w:pPr>
            <w:r>
              <w:rPr>
                <w:sz w:val="20"/>
                <w:lang w:val="en-CA" w:eastAsia="zh-CN"/>
              </w:rPr>
              <w:t>FFS : Whether the error statistics of ARP location is available at the gNB</w:t>
            </w:r>
          </w:p>
          <w:p>
            <w:pPr>
              <w:pStyle w:val="90"/>
              <w:numPr>
                <w:ilvl w:val="0"/>
                <w:numId w:val="3"/>
              </w:numPr>
              <w:topLinePunct/>
              <w:snapToGrid w:val="0"/>
              <w:spacing w:before="180" w:beforeLines="50" w:afterLines="50" w:line="240" w:lineRule="auto"/>
              <w:contextualSpacing w:val="0"/>
              <w:jc w:val="both"/>
              <w:rPr>
                <w:sz w:val="20"/>
              </w:rPr>
            </w:pPr>
            <w:r>
              <w:rPr>
                <w:sz w:val="20"/>
                <w:lang w:val="en-CA" w:eastAsia="zh-CN"/>
              </w:rPr>
              <w:t>Other error sources are not precluded</w:t>
            </w:r>
          </w:p>
          <w:p>
            <w:pPr>
              <w:topLinePunct/>
              <w:snapToGrid w:val="0"/>
              <w:spacing w:before="180" w:beforeLines="50" w:after="180" w:afterLines="50" w:line="240" w:lineRule="auto"/>
              <w:jc w:val="both"/>
              <w:rPr>
                <w:rFonts w:ascii="Times New Roman" w:hAnsi="Times New Roman"/>
                <w:b/>
                <w:sz w:val="20"/>
                <w:szCs w:val="24"/>
                <w:lang w:val="en-CA"/>
              </w:rPr>
            </w:pPr>
            <w:r>
              <w:rPr>
                <w:rFonts w:ascii="Times New Roman" w:hAnsi="Times New Roman"/>
                <w:b/>
                <w:sz w:val="20"/>
                <w:szCs w:val="24"/>
                <w:lang w:val="en-CA"/>
              </w:rPr>
              <w:t>Agreement</w:t>
            </w:r>
          </w:p>
          <w:p>
            <w:pPr>
              <w:topLinePunct/>
              <w:snapToGrid w:val="0"/>
              <w:spacing w:before="180" w:beforeLines="50" w:after="180" w:afterLines="50" w:line="240" w:lineRule="auto"/>
              <w:jc w:val="both"/>
              <w:rPr>
                <w:rFonts w:ascii="Times New Roman" w:hAnsi="Times New Roman"/>
                <w:sz w:val="20"/>
                <w:szCs w:val="24"/>
                <w:lang w:val="en-CA"/>
              </w:rPr>
            </w:pPr>
            <w:r>
              <w:rPr>
                <w:rFonts w:ascii="Times New Roman" w:hAnsi="Times New Roman"/>
                <w:sz w:val="20"/>
                <w:szCs w:val="24"/>
                <w:lang w:val="en-CA"/>
              </w:rPr>
              <w:t xml:space="preserve">For LMF-based positioning integrity mode, at least inter-TRP synchronization is an error source for UL-TDOA. </w:t>
            </w:r>
          </w:p>
          <w:p>
            <w:pPr>
              <w:pStyle w:val="90"/>
              <w:numPr>
                <w:ilvl w:val="0"/>
                <w:numId w:val="3"/>
              </w:numPr>
              <w:topLinePunct/>
              <w:snapToGrid w:val="0"/>
              <w:spacing w:before="180" w:beforeLines="50" w:afterLines="50" w:line="240" w:lineRule="auto"/>
              <w:contextualSpacing w:val="0"/>
              <w:jc w:val="both"/>
              <w:rPr>
                <w:sz w:val="20"/>
                <w:lang w:val="en-CA" w:eastAsia="zh-CN"/>
              </w:rPr>
            </w:pPr>
            <w:r>
              <w:rPr>
                <w:sz w:val="20"/>
                <w:lang w:val="en-CA" w:eastAsia="zh-CN"/>
              </w:rPr>
              <w:t>FFS : Specification impact of inter-TRP synchronization as an error source for UL-TDOA</w:t>
            </w:r>
          </w:p>
          <w:p>
            <w:pPr>
              <w:pStyle w:val="90"/>
              <w:numPr>
                <w:ilvl w:val="0"/>
                <w:numId w:val="3"/>
              </w:numPr>
              <w:topLinePunct/>
              <w:snapToGrid w:val="0"/>
              <w:spacing w:before="180" w:beforeLines="50" w:afterLines="50" w:line="240" w:lineRule="auto"/>
              <w:contextualSpacing w:val="0"/>
              <w:jc w:val="both"/>
              <w:rPr>
                <w:sz w:val="20"/>
                <w:lang w:val="en-CA" w:eastAsia="zh-CN"/>
              </w:rPr>
            </w:pPr>
            <w:r>
              <w:rPr>
                <w:sz w:val="20"/>
                <w:lang w:val="en-CA" w:eastAsia="zh-CN"/>
              </w:rPr>
              <w:t>Note : Definition of “LMF-based positioning integrity mode” can be found in Table 9.4.1.1.1 in TR 38.857</w:t>
            </w:r>
          </w:p>
          <w:p>
            <w:pPr>
              <w:topLinePunct/>
              <w:snapToGrid w:val="0"/>
              <w:spacing w:before="180" w:beforeLines="50" w:after="180" w:afterLines="50" w:line="240" w:lineRule="auto"/>
              <w:jc w:val="both"/>
              <w:rPr>
                <w:rFonts w:ascii="Times New Roman" w:hAnsi="Times New Roman" w:eastAsia="等线"/>
                <w:b/>
                <w:sz w:val="20"/>
                <w:szCs w:val="24"/>
              </w:rPr>
            </w:pPr>
            <w:r>
              <w:rPr>
                <w:rFonts w:ascii="Times New Roman" w:hAnsi="Times New Roman" w:eastAsia="等线"/>
                <w:b/>
                <w:sz w:val="20"/>
                <w:szCs w:val="24"/>
              </w:rPr>
              <w:t>Agreement</w:t>
            </w:r>
          </w:p>
          <w:p>
            <w:pPr>
              <w:topLinePunct/>
              <w:snapToGrid w:val="0"/>
              <w:spacing w:before="180" w:beforeLines="50" w:after="180" w:afterLines="50" w:line="240" w:lineRule="auto"/>
              <w:jc w:val="both"/>
              <w:rPr>
                <w:rFonts w:ascii="Times New Roman" w:hAnsi="Times New Roman" w:eastAsia="等线"/>
                <w:sz w:val="20"/>
                <w:szCs w:val="24"/>
              </w:rPr>
            </w:pPr>
            <w:r>
              <w:rPr>
                <w:rFonts w:ascii="Times New Roman" w:hAnsi="Times New Roman"/>
                <w:sz w:val="20"/>
                <w:szCs w:val="24"/>
              </w:rPr>
              <w:t xml:space="preserve">Study the distribution of RSTD, RTOA and </w:t>
            </w:r>
            <w:r>
              <w:rPr>
                <w:rFonts w:ascii="Times New Roman" w:hAnsi="Times New Roman"/>
                <w:sz w:val="20"/>
                <w:szCs w:val="24"/>
                <w:lang w:val="en-CA"/>
              </w:rPr>
              <w:t xml:space="preserve">UE/gNB Rx-Tx time measurement error considering the following aspects: </w:t>
            </w:r>
          </w:p>
          <w:p>
            <w:pPr>
              <w:pStyle w:val="90"/>
              <w:numPr>
                <w:ilvl w:val="0"/>
                <w:numId w:val="3"/>
              </w:numPr>
              <w:topLinePunct/>
              <w:snapToGrid w:val="0"/>
              <w:spacing w:before="180" w:beforeLines="50" w:afterLines="50" w:line="240" w:lineRule="auto"/>
              <w:contextualSpacing w:val="0"/>
              <w:jc w:val="both"/>
              <w:rPr>
                <w:sz w:val="20"/>
                <w:lang w:val="en-CA" w:eastAsia="zh-CN"/>
              </w:rPr>
            </w:pPr>
            <w:r>
              <w:rPr>
                <w:sz w:val="20"/>
                <w:lang w:val="en-CA" w:eastAsia="zh-CN"/>
              </w:rPr>
              <w:t>Whether TEG-related timing error is an independent error source from timing related measurement error (e.g., RTOA, RSTD, UE/gNB Rx-Tx time difference)</w:t>
            </w:r>
          </w:p>
          <w:p>
            <w:pPr>
              <w:pStyle w:val="90"/>
              <w:numPr>
                <w:ilvl w:val="0"/>
                <w:numId w:val="3"/>
              </w:numPr>
              <w:topLinePunct/>
              <w:snapToGrid w:val="0"/>
              <w:spacing w:before="180" w:beforeLines="50" w:afterLines="50" w:line="240" w:lineRule="auto"/>
              <w:contextualSpacing w:val="0"/>
              <w:jc w:val="both"/>
              <w:rPr>
                <w:sz w:val="20"/>
                <w:lang w:val="en-CA" w:eastAsia="zh-CN"/>
              </w:rPr>
            </w:pPr>
            <w:r>
              <w:rPr>
                <w:rFonts w:eastAsia="等线"/>
                <w:sz w:val="20"/>
                <w:lang w:eastAsia="zh-CN"/>
              </w:rPr>
              <w:t xml:space="preserve">Whether the </w:t>
            </w:r>
            <w:r>
              <w:rPr>
                <w:sz w:val="20"/>
                <w:lang w:val="en-CA" w:eastAsia="zh-CN"/>
              </w:rPr>
              <w:t xml:space="preserve">measurement </w:t>
            </w:r>
            <w:r>
              <w:rPr>
                <w:rFonts w:eastAsia="等线"/>
                <w:sz w:val="20"/>
                <w:lang w:eastAsia="zh-CN"/>
              </w:rPr>
              <w:t>error is considered for each ToA or for the reported RSTD value</w:t>
            </w:r>
          </w:p>
          <w:p>
            <w:pPr>
              <w:pStyle w:val="90"/>
              <w:numPr>
                <w:ilvl w:val="0"/>
                <w:numId w:val="3"/>
              </w:numPr>
              <w:topLinePunct/>
              <w:snapToGrid w:val="0"/>
              <w:spacing w:before="180" w:beforeLines="50" w:afterLines="50" w:line="240" w:lineRule="auto"/>
              <w:contextualSpacing w:val="0"/>
              <w:jc w:val="both"/>
              <w:rPr>
                <w:sz w:val="20"/>
                <w:lang w:val="en-CA" w:eastAsia="zh-CN"/>
              </w:rPr>
            </w:pPr>
            <w:r>
              <w:rPr>
                <w:sz w:val="20"/>
                <w:lang w:val="en-CA" w:eastAsia="zh-CN"/>
              </w:rPr>
              <w:t>Other Details (e.g., mean and standard deviation)</w:t>
            </w:r>
          </w:p>
          <w:p>
            <w:pPr>
              <w:topLinePunct/>
              <w:snapToGrid w:val="0"/>
              <w:spacing w:before="180" w:beforeLines="50" w:after="180" w:afterLines="50" w:line="240" w:lineRule="auto"/>
              <w:jc w:val="both"/>
              <w:rPr>
                <w:rFonts w:ascii="Times New Roman" w:hAnsi="Times New Roman"/>
                <w:sz w:val="20"/>
                <w:szCs w:val="24"/>
                <w:lang w:val="en-CA"/>
              </w:rPr>
            </w:pPr>
            <w:r>
              <w:rPr>
                <w:rFonts w:ascii="Times New Roman" w:hAnsi="Times New Roman" w:eastAsia="等线"/>
                <w:sz w:val="20"/>
                <w:szCs w:val="24"/>
              </w:rPr>
              <w:t xml:space="preserve">Note : </w:t>
            </w:r>
            <w:r>
              <w:rPr>
                <w:rFonts w:ascii="Times New Roman" w:hAnsi="Times New Roman"/>
                <w:sz w:val="20"/>
                <w:szCs w:val="24"/>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pPr>
              <w:topLinePunct/>
              <w:snapToGrid w:val="0"/>
              <w:spacing w:before="180" w:beforeLines="50" w:after="180" w:afterLines="50" w:line="240" w:lineRule="auto"/>
              <w:jc w:val="both"/>
              <w:rPr>
                <w:rFonts w:ascii="Times New Roman" w:hAnsi="Times New Roman"/>
                <w:b/>
                <w:sz w:val="20"/>
                <w:szCs w:val="24"/>
                <w:lang w:val="en-CA"/>
              </w:rPr>
            </w:pPr>
            <w:r>
              <w:rPr>
                <w:rFonts w:ascii="Times New Roman" w:hAnsi="Times New Roman"/>
                <w:b/>
                <w:sz w:val="20"/>
                <w:szCs w:val="24"/>
              </w:rPr>
              <w:t>Agreement</w:t>
            </w:r>
          </w:p>
          <w:p>
            <w:pPr>
              <w:topLinePunct/>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 xml:space="preserve">Study the distribution of arrival measurement error focusing on the following aspects </w:t>
            </w:r>
          </w:p>
          <w:p>
            <w:pPr>
              <w:pStyle w:val="90"/>
              <w:numPr>
                <w:ilvl w:val="0"/>
                <w:numId w:val="4"/>
              </w:numPr>
              <w:topLinePunct/>
              <w:snapToGrid w:val="0"/>
              <w:spacing w:before="180" w:beforeLines="50" w:afterLines="50" w:line="240" w:lineRule="auto"/>
              <w:contextualSpacing w:val="0"/>
              <w:jc w:val="both"/>
              <w:rPr>
                <w:sz w:val="20"/>
              </w:rPr>
            </w:pPr>
            <w:r>
              <w:rPr>
                <w:sz w:val="20"/>
              </w:rPr>
              <w:t>Whether the angle of arrival measurement error can be expressed as the error of the AoA/ZoA in LCS or GCS or the error of a defined function of AoA/ZoA in LCS</w:t>
            </w:r>
          </w:p>
          <w:p>
            <w:pPr>
              <w:pStyle w:val="90"/>
              <w:numPr>
                <w:ilvl w:val="0"/>
                <w:numId w:val="4"/>
              </w:numPr>
              <w:topLinePunct/>
              <w:snapToGrid w:val="0"/>
              <w:spacing w:before="180" w:beforeLines="50" w:afterLines="50" w:line="240" w:lineRule="auto"/>
              <w:contextualSpacing w:val="0"/>
              <w:jc w:val="both"/>
              <w:rPr>
                <w:sz w:val="20"/>
              </w:rPr>
            </w:pPr>
            <w:r>
              <w:rPr>
                <w:sz w:val="20"/>
              </w:rPr>
              <w:t>Distribution of AoA measurement error for an NLOS/LOS link</w:t>
            </w:r>
          </w:p>
          <w:p>
            <w:pPr>
              <w:pStyle w:val="90"/>
              <w:numPr>
                <w:ilvl w:val="0"/>
                <w:numId w:val="4"/>
              </w:numPr>
              <w:topLinePunct/>
              <w:snapToGrid w:val="0"/>
              <w:spacing w:before="180" w:beforeLines="50" w:afterLines="50" w:line="240" w:lineRule="auto"/>
              <w:contextualSpacing w:val="0"/>
              <w:jc w:val="both"/>
              <w:rPr>
                <w:sz w:val="20"/>
              </w:rPr>
            </w:pPr>
            <w:r>
              <w:rPr>
                <w:sz w:val="20"/>
              </w:rPr>
              <w:t>Other Details (e.g., mean, standard deviation)</w:t>
            </w:r>
          </w:p>
          <w:p>
            <w:pPr>
              <w:tabs>
                <w:tab w:val="left" w:pos="1152"/>
              </w:tabs>
              <w:topLinePunct/>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pPr>
        <w:topLinePunct/>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In this contribution, we provide our views on this integrity issue for RAT dependent positioning techniques from RAN1 perspective.</w:t>
      </w:r>
    </w:p>
    <w:p>
      <w:pPr>
        <w:pStyle w:val="2"/>
        <w:topLinePunct/>
        <w:snapToGrid w:val="0"/>
        <w:spacing w:before="180" w:beforeLines="50" w:after="180" w:afterLines="50"/>
        <w:ind w:left="431" w:hanging="431"/>
        <w:jc w:val="both"/>
        <w:rPr>
          <w:sz w:val="28"/>
          <w:lang w:val="en-US"/>
        </w:rPr>
      </w:pPr>
      <w:r>
        <w:rPr>
          <w:sz w:val="28"/>
          <w:lang w:val="en-US"/>
        </w:rPr>
        <w:t>Discussion</w:t>
      </w:r>
    </w:p>
    <w:p>
      <w:pPr>
        <w:pStyle w:val="3"/>
        <w:topLinePunct/>
        <w:adjustRightInd w:val="0"/>
        <w:snapToGrid w:val="0"/>
        <w:spacing w:before="180" w:beforeLines="50" w:after="180" w:afterLines="50" w:line="240" w:lineRule="auto"/>
        <w:jc w:val="both"/>
        <w:rPr>
          <w:rFonts w:ascii="Arial" w:hAnsi="Arial"/>
          <w:b/>
          <w:sz w:val="24"/>
        </w:rPr>
      </w:pPr>
      <w:r>
        <w:rPr>
          <w:rFonts w:ascii="Arial" w:hAnsi="Arial"/>
          <w:b/>
          <w:sz w:val="24"/>
        </w:rPr>
        <w:t xml:space="preserve">2.1 Error source model </w:t>
      </w:r>
    </w:p>
    <w:p>
      <w:pPr>
        <w:pStyle w:val="4"/>
        <w:topLinePunct/>
        <w:adjustRightInd w:val="0"/>
        <w:snapToGrid w:val="0"/>
        <w:spacing w:before="180" w:beforeLines="50" w:after="180" w:afterLines="50" w:line="240" w:lineRule="auto"/>
        <w:jc w:val="both"/>
        <w:rPr>
          <w:rFonts w:ascii="Times New Roman" w:hAnsi="Times New Roman"/>
          <w:b/>
        </w:rPr>
      </w:pPr>
      <w:r>
        <w:rPr>
          <w:rFonts w:ascii="Times New Roman" w:hAnsi="Times New Roman"/>
          <w:b/>
        </w:rPr>
        <w:t>2.1.1 Error source model for timing related measurements</w:t>
      </w:r>
    </w:p>
    <w:p>
      <w:pPr>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For LMF based</w:t>
      </w:r>
      <w:r>
        <w:rPr>
          <w:szCs w:val="24"/>
        </w:rPr>
        <w:t xml:space="preserve"> </w:t>
      </w:r>
      <w:r>
        <w:rPr>
          <w:rFonts w:ascii="Times New Roman" w:hAnsi="Times New Roman"/>
          <w:sz w:val="20"/>
          <w:szCs w:val="24"/>
        </w:rPr>
        <w:t>positioning methods, the following error sources have been considered based on the agreements.</w:t>
      </w:r>
    </w:p>
    <w:p>
      <w:pPr>
        <w:pStyle w:val="90"/>
        <w:numPr>
          <w:ilvl w:val="0"/>
          <w:numId w:val="5"/>
        </w:numPr>
        <w:topLinePunct/>
        <w:snapToGrid w:val="0"/>
        <w:spacing w:before="180" w:beforeLines="50" w:afterLines="50" w:line="240" w:lineRule="auto"/>
        <w:contextualSpacing w:val="0"/>
        <w:jc w:val="both"/>
        <w:rPr>
          <w:sz w:val="20"/>
          <w:lang w:val="en-CA" w:eastAsia="zh-CN"/>
        </w:rPr>
      </w:pPr>
      <w:r>
        <w:rPr>
          <w:rFonts w:eastAsia="等线"/>
          <w:sz w:val="20"/>
          <w:lang w:val="en-CA" w:eastAsia="zh-CN"/>
        </w:rPr>
        <w:t xml:space="preserve">RSTD measurement is an error source for DL-TDOA </w:t>
      </w:r>
    </w:p>
    <w:p>
      <w:pPr>
        <w:pStyle w:val="90"/>
        <w:numPr>
          <w:ilvl w:val="0"/>
          <w:numId w:val="5"/>
        </w:numPr>
        <w:topLinePunct/>
        <w:snapToGrid w:val="0"/>
        <w:spacing w:before="180" w:beforeLines="50" w:afterLines="50" w:line="240" w:lineRule="auto"/>
        <w:contextualSpacing w:val="0"/>
        <w:jc w:val="both"/>
        <w:rPr>
          <w:sz w:val="20"/>
          <w:lang w:val="en-CA" w:eastAsia="zh-CN"/>
        </w:rPr>
      </w:pPr>
      <w:r>
        <w:rPr>
          <w:sz w:val="20"/>
          <w:lang w:val="en-CA" w:eastAsia="zh-CN"/>
        </w:rPr>
        <w:t xml:space="preserve">RTOA </w:t>
      </w:r>
      <w:r>
        <w:rPr>
          <w:rFonts w:eastAsia="等线"/>
          <w:sz w:val="20"/>
          <w:lang w:val="en-CA" w:eastAsia="zh-CN"/>
        </w:rPr>
        <w:t xml:space="preserve">measurement is an error source for </w:t>
      </w:r>
      <w:r>
        <w:rPr>
          <w:sz w:val="20"/>
          <w:lang w:val="en-CA" w:eastAsia="zh-CN"/>
        </w:rPr>
        <w:t>UL-TDOA</w:t>
      </w:r>
    </w:p>
    <w:p>
      <w:pPr>
        <w:pStyle w:val="90"/>
        <w:numPr>
          <w:ilvl w:val="0"/>
          <w:numId w:val="5"/>
        </w:numPr>
        <w:topLinePunct/>
        <w:snapToGrid w:val="0"/>
        <w:spacing w:before="180" w:beforeLines="50" w:afterLines="50" w:line="240" w:lineRule="auto"/>
        <w:contextualSpacing w:val="0"/>
        <w:jc w:val="both"/>
        <w:rPr>
          <w:sz w:val="20"/>
          <w:lang w:val="en-CA" w:eastAsia="zh-CN"/>
        </w:rPr>
      </w:pPr>
      <w:r>
        <w:rPr>
          <w:sz w:val="20"/>
          <w:lang w:val="en-CA" w:eastAsia="zh-CN"/>
        </w:rPr>
        <w:t xml:space="preserve">UE Rx-Tx time difference </w:t>
      </w:r>
      <w:r>
        <w:rPr>
          <w:rFonts w:eastAsia="等线"/>
          <w:sz w:val="20"/>
          <w:lang w:val="en-CA" w:eastAsia="zh-CN"/>
        </w:rPr>
        <w:t xml:space="preserve">measurement is an error source for </w:t>
      </w:r>
      <w:r>
        <w:rPr>
          <w:sz w:val="20"/>
          <w:lang w:val="en-CA" w:eastAsia="zh-CN"/>
        </w:rPr>
        <w:t>Multi-RTT</w:t>
      </w:r>
    </w:p>
    <w:p>
      <w:pPr>
        <w:pStyle w:val="90"/>
        <w:numPr>
          <w:ilvl w:val="0"/>
          <w:numId w:val="5"/>
        </w:numPr>
        <w:topLinePunct/>
        <w:snapToGrid w:val="0"/>
        <w:spacing w:before="180" w:beforeLines="50" w:afterLines="50" w:line="240" w:lineRule="auto"/>
        <w:contextualSpacing w:val="0"/>
        <w:jc w:val="both"/>
        <w:rPr>
          <w:sz w:val="20"/>
          <w:lang w:val="en-CA" w:eastAsia="zh-CN"/>
        </w:rPr>
      </w:pPr>
      <w:r>
        <w:rPr>
          <w:sz w:val="20"/>
          <w:lang w:val="en-CA" w:eastAsia="zh-CN"/>
        </w:rPr>
        <w:t xml:space="preserve">gNB Rx-Tx time difference </w:t>
      </w:r>
      <w:r>
        <w:rPr>
          <w:rFonts w:eastAsia="等线"/>
          <w:sz w:val="20"/>
          <w:lang w:val="en-CA" w:eastAsia="zh-CN"/>
        </w:rPr>
        <w:t xml:space="preserve">measurement is an error source for </w:t>
      </w:r>
      <w:r>
        <w:rPr>
          <w:sz w:val="20"/>
          <w:lang w:val="en-CA" w:eastAsia="zh-CN"/>
        </w:rPr>
        <w:t>Multi-RTT</w:t>
      </w:r>
    </w:p>
    <w:p>
      <w:pPr>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For the error sources mentioned above, it’s natural to consider Gaussian distribution as the error source models as similar as GNSS. To verify the assumption, we provide some simple evaluations.</w:t>
      </w:r>
    </w:p>
    <w:p>
      <w:pPr>
        <w:overflowPunct w:val="0"/>
        <w:autoSpaceDE w:val="0"/>
        <w:autoSpaceDN w:val="0"/>
        <w:adjustRightInd w:val="0"/>
        <w:snapToGrid w:val="0"/>
        <w:spacing w:before="180" w:beforeLines="50" w:after="180" w:afterLines="50" w:line="240" w:lineRule="auto"/>
        <w:jc w:val="both"/>
        <w:textAlignment w:val="baseline"/>
        <w:rPr>
          <w:rFonts w:ascii="Times New Roman" w:hAnsi="Times New Roman"/>
          <w:sz w:val="20"/>
          <w:szCs w:val="24"/>
        </w:rPr>
      </w:pPr>
      <w:r>
        <w:rPr>
          <w:rFonts w:ascii="Times New Roman" w:hAnsi="Times New Roman"/>
          <w:sz w:val="20"/>
          <w:szCs w:val="24"/>
        </w:rPr>
        <w:t xml:space="preserve">Figure 1 and 2 show the evaluation of ToA error in terms of meters, using MUSIC method with 100MHz bandwidth. We evaluate the errors based on LoS and LOS&amp;NLoS links in the results. More simulation assumptions can be found in table 5-1 in section 5. The evaluation results reveal that the curves are actually aligned with normal distribution for LoS links and are a little bit different to normal distribution for LOS&amp;NLoS links. Based on existing knowledge that for LOS&amp;NLOS links, the total signal strength follows Rician distribution, and without LOS links it follows </w:t>
      </w:r>
      <w:r>
        <w:rPr>
          <w:rStyle w:val="25"/>
          <w:rFonts w:hint="eastAsia" w:ascii="Times New Roman" w:hAnsi="Times New Roman"/>
          <w:sz w:val="20"/>
          <w:szCs w:val="24"/>
        </w:rPr>
        <w:t>Rayleigh distribution</w:t>
      </w:r>
      <w:r>
        <w:rPr>
          <w:rFonts w:ascii="Times New Roman" w:hAnsi="Times New Roman"/>
          <w:sz w:val="20"/>
          <w:szCs w:val="24"/>
        </w:rPr>
        <w:t>. Overall, the location error is related with the signal strength and for some reasons, we think the location error distribution is aligned with Gaussian distribution shape approximately.</w:t>
      </w:r>
    </w:p>
    <w:p>
      <w:pPr>
        <w:snapToGrid w:val="0"/>
        <w:spacing w:before="180" w:beforeLines="50" w:after="180" w:afterLines="50" w:line="240" w:lineRule="auto"/>
        <w:jc w:val="center"/>
        <w:rPr>
          <w:rFonts w:ascii="Times New Roman" w:hAnsi="Times New Roman"/>
          <w:sz w:val="20"/>
          <w:szCs w:val="24"/>
        </w:rPr>
      </w:pPr>
      <w:r>
        <w:rPr>
          <w:rFonts w:ascii="Times New Roman" w:hAnsi="Times New Roman"/>
          <w:sz w:val="20"/>
          <w:szCs w:val="24"/>
        </w:rPr>
        <w:drawing>
          <wp:inline distT="0" distB="0" distL="0" distR="0">
            <wp:extent cx="4476750" cy="3355340"/>
            <wp:effectExtent l="0" t="0" r="0" b="0"/>
            <wp:docPr id="21" name="图片 21" descr="Integrity_Uma_LOS_40M_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Integrity_Uma_LOS_40M_titl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4"/>
        </w:rPr>
      </w:pPr>
      <w:r>
        <w:rPr>
          <w:rFonts w:ascii="Times New Roman" w:hAnsi="Times New Roman"/>
          <w:sz w:val="20"/>
          <w:szCs w:val="24"/>
        </w:rPr>
        <w:t>Figure 1 TOA error histogram in UMa LoS Scenario</w:t>
      </w:r>
    </w:p>
    <w:p>
      <w:pPr>
        <w:snapToGrid w:val="0"/>
        <w:spacing w:before="180" w:beforeLines="50" w:after="180" w:afterLines="50" w:line="240" w:lineRule="auto"/>
        <w:jc w:val="center"/>
        <w:rPr>
          <w:rFonts w:ascii="Times New Roman" w:hAnsi="Times New Roman"/>
          <w:sz w:val="20"/>
          <w:szCs w:val="24"/>
        </w:rPr>
      </w:pPr>
      <w:r>
        <w:rPr>
          <w:rFonts w:ascii="Times New Roman" w:hAnsi="Times New Roman"/>
          <w:sz w:val="20"/>
          <w:szCs w:val="24"/>
        </w:rPr>
        <w:drawing>
          <wp:inline distT="0" distB="0" distL="0" distR="0">
            <wp:extent cx="4476750" cy="3355340"/>
            <wp:effectExtent l="0" t="0" r="0" b="0"/>
            <wp:docPr id="20" name="图片 20" descr="Integrity_Uma_LOSNLOS_4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Integrity_Uma_LOSNLOS_40M"/>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4"/>
        </w:rPr>
      </w:pPr>
      <w:r>
        <w:rPr>
          <w:rFonts w:ascii="Times New Roman" w:hAnsi="Times New Roman"/>
          <w:sz w:val="20"/>
          <w:szCs w:val="24"/>
        </w:rPr>
        <w:t>Figure 2 TOA error histogram in UMa Scenario with both LOS and NLOS</w:t>
      </w:r>
    </w:p>
    <w:p>
      <w:pPr>
        <w:overflowPunct w:val="0"/>
        <w:autoSpaceDE w:val="0"/>
        <w:autoSpaceDN w:val="0"/>
        <w:adjustRightInd w:val="0"/>
        <w:snapToGrid w:val="0"/>
        <w:spacing w:before="180" w:beforeLines="50" w:after="180" w:afterLines="50" w:line="240" w:lineRule="auto"/>
        <w:jc w:val="both"/>
        <w:textAlignment w:val="baseline"/>
        <w:rPr>
          <w:rFonts w:ascii="Times New Roman" w:hAnsi="Times New Roman"/>
          <w:sz w:val="20"/>
          <w:szCs w:val="24"/>
        </w:rPr>
      </w:pPr>
      <w:r>
        <w:rPr>
          <w:rFonts w:ascii="Times New Roman" w:hAnsi="Times New Roman"/>
          <w:sz w:val="20"/>
          <w:szCs w:val="24"/>
        </w:rPr>
        <w:t>Therefore, we suggest the bounding model for ToA as Gaussian distribution for LoS cases which also includes a mean and standard deviation, the formula for GNSS can be reused in ToA and extended to other timing related measurement errors.</w:t>
      </w:r>
    </w:p>
    <w:p>
      <w:pPr>
        <w:topLinePunct/>
        <w:autoSpaceDE w:val="0"/>
        <w:autoSpaceDN w:val="0"/>
        <w:adjustRightInd w:val="0"/>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Proposal 1: The following timing-related measurement errors should be model as Gaussian distribution:</w:t>
      </w:r>
    </w:p>
    <w:p>
      <w:pPr>
        <w:pStyle w:val="90"/>
        <w:numPr>
          <w:ilvl w:val="3"/>
          <w:numId w:val="5"/>
        </w:numPr>
        <w:tabs>
          <w:tab w:val="left" w:pos="1680"/>
        </w:tabs>
        <w:topLinePunct/>
        <w:snapToGrid w:val="0"/>
        <w:spacing w:before="180" w:beforeLines="50" w:afterLines="50" w:line="240" w:lineRule="auto"/>
        <w:contextualSpacing w:val="0"/>
        <w:jc w:val="both"/>
        <w:rPr>
          <w:b/>
          <w:i/>
          <w:sz w:val="20"/>
          <w:lang w:eastAsia="zh-CN"/>
        </w:rPr>
      </w:pPr>
      <w:r>
        <w:rPr>
          <w:b/>
          <w:i/>
          <w:sz w:val="20"/>
          <w:lang w:eastAsia="zh-CN"/>
        </w:rPr>
        <w:t xml:space="preserve">RSTD measurement for DL-TDOA </w:t>
      </w:r>
    </w:p>
    <w:p>
      <w:pPr>
        <w:pStyle w:val="90"/>
        <w:numPr>
          <w:ilvl w:val="3"/>
          <w:numId w:val="5"/>
        </w:numPr>
        <w:tabs>
          <w:tab w:val="left" w:pos="1680"/>
        </w:tabs>
        <w:topLinePunct/>
        <w:snapToGrid w:val="0"/>
        <w:spacing w:before="180" w:beforeLines="50" w:afterLines="50" w:line="240" w:lineRule="auto"/>
        <w:contextualSpacing w:val="0"/>
        <w:jc w:val="both"/>
        <w:rPr>
          <w:b/>
          <w:i/>
          <w:sz w:val="20"/>
          <w:lang w:eastAsia="zh-CN"/>
        </w:rPr>
      </w:pPr>
      <w:r>
        <w:rPr>
          <w:b/>
          <w:i/>
          <w:sz w:val="20"/>
          <w:lang w:eastAsia="zh-CN"/>
        </w:rPr>
        <w:t>RTOA measurement for UL-TDOA</w:t>
      </w:r>
    </w:p>
    <w:p>
      <w:pPr>
        <w:pStyle w:val="90"/>
        <w:numPr>
          <w:ilvl w:val="3"/>
          <w:numId w:val="5"/>
        </w:numPr>
        <w:tabs>
          <w:tab w:val="left" w:pos="1680"/>
        </w:tabs>
        <w:topLinePunct/>
        <w:snapToGrid w:val="0"/>
        <w:spacing w:before="180" w:beforeLines="50" w:afterLines="50" w:line="240" w:lineRule="auto"/>
        <w:contextualSpacing w:val="0"/>
        <w:jc w:val="both"/>
        <w:rPr>
          <w:b/>
          <w:i/>
          <w:sz w:val="20"/>
          <w:lang w:eastAsia="zh-CN"/>
        </w:rPr>
      </w:pPr>
      <w:r>
        <w:rPr>
          <w:b/>
          <w:i/>
          <w:sz w:val="20"/>
          <w:lang w:eastAsia="zh-CN"/>
        </w:rPr>
        <w:t>UE Rx-Tx time difference measurement for Multi-RTT</w:t>
      </w:r>
    </w:p>
    <w:p>
      <w:pPr>
        <w:pStyle w:val="90"/>
        <w:numPr>
          <w:ilvl w:val="3"/>
          <w:numId w:val="5"/>
        </w:numPr>
        <w:tabs>
          <w:tab w:val="left" w:pos="1680"/>
        </w:tabs>
        <w:snapToGrid w:val="0"/>
        <w:spacing w:before="180" w:beforeLines="50" w:afterLines="50" w:line="240" w:lineRule="auto"/>
        <w:contextualSpacing w:val="0"/>
        <w:rPr>
          <w:b/>
          <w:i/>
          <w:sz w:val="20"/>
          <w:lang w:eastAsia="zh-CN"/>
        </w:rPr>
      </w:pPr>
      <w:r>
        <w:rPr>
          <w:b/>
          <w:i/>
          <w:sz w:val="20"/>
          <w:lang w:eastAsia="zh-CN"/>
        </w:rPr>
        <w:t>gNB Rx-Tx time difference measurement for Multi-RTT</w:t>
      </w:r>
    </w:p>
    <w:p>
      <w:pPr>
        <w:pStyle w:val="90"/>
        <w:snapToGrid w:val="0"/>
        <w:spacing w:before="180" w:beforeLines="50" w:afterLines="50" w:line="240" w:lineRule="auto"/>
        <w:ind w:left="0"/>
        <w:jc w:val="both"/>
        <w:rPr>
          <w:rFonts w:hint="eastAsia"/>
          <w:b/>
          <w:i/>
          <w:sz w:val="20"/>
          <w:lang w:eastAsia="zh-CN"/>
        </w:rPr>
      </w:pPr>
    </w:p>
    <w:p>
      <w:pPr>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In order to further study the model, how to get the bound, mean value and standard deviation should be identified for the timing related error sources. From the simulation, we can simply determine the mean value of timing related error model to be zero.</w:t>
      </w:r>
    </w:p>
    <w:p>
      <w:pPr>
        <w:pStyle w:val="58"/>
        <w:keepNext w:val="0"/>
        <w:keepLines w:val="0"/>
        <w:widowControl w:val="0"/>
        <w:snapToGrid w:val="0"/>
        <w:spacing w:before="180" w:beforeLines="50" w:after="180" w:afterLines="50" w:line="240" w:lineRule="auto"/>
        <w:jc w:val="both"/>
        <w:rPr>
          <w:rFonts w:ascii="Times New Roman" w:hAnsi="Times New Roman"/>
          <w:sz w:val="20"/>
        </w:rPr>
      </w:pPr>
      <w:r>
        <w:rPr>
          <w:rFonts w:ascii="Times New Roman" w:hAnsi="Times New Roman"/>
          <w:sz w:val="20"/>
        </w:rPr>
        <w:t xml:space="preserve">The IE </w:t>
      </w:r>
      <w:r>
        <w:rPr>
          <w:rFonts w:ascii="Times New Roman" w:hAnsi="Times New Roman"/>
          <w:i/>
          <w:sz w:val="20"/>
          <w:szCs w:val="24"/>
        </w:rPr>
        <w:t xml:space="preserve">NR-TimingQuality </w:t>
      </w:r>
      <w:r>
        <w:rPr>
          <w:rFonts w:ascii="Times New Roman" w:hAnsi="Times New Roman"/>
          <w:sz w:val="20"/>
        </w:rPr>
        <w:t>defines the quality of a timing value for DL-TDOA and Multi-RTT in TS 37.355 as follows.</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 ASN1START</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napToGrid w:val="0"/>
          <w:sz w:val="20"/>
        </w:rPr>
        <w:t xml:space="preserve">NR-TimingQuality-r16 </w:t>
      </w:r>
      <w:r>
        <w:rPr>
          <w:rFonts w:ascii="Times New Roman" w:hAnsi="Times New Roman"/>
          <w:sz w:val="20"/>
        </w:rPr>
        <w:t>::= SEQUENCE {</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ab/>
      </w:r>
      <w:r>
        <w:rPr>
          <w:rFonts w:ascii="Times New Roman" w:hAnsi="Times New Roman"/>
          <w:sz w:val="20"/>
        </w:rPr>
        <w:t>timingQualityValue-r16</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napToGrid w:val="0"/>
          <w:sz w:val="20"/>
        </w:rPr>
        <w:t>INTEGER (0..31),</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napToGrid w:val="0"/>
          <w:sz w:val="20"/>
        </w:rPr>
      </w:pPr>
      <w:r>
        <w:rPr>
          <w:rFonts w:ascii="Times New Roman" w:hAnsi="Times New Roman"/>
          <w:snapToGrid w:val="0"/>
          <w:sz w:val="20"/>
        </w:rPr>
        <w:tab/>
      </w:r>
      <w:r>
        <w:rPr>
          <w:rFonts w:ascii="Times New Roman" w:hAnsi="Times New Roman"/>
          <w:snapToGrid w:val="0"/>
          <w:sz w:val="20"/>
        </w:rPr>
        <w:t>timingQualityResolution-r16</w:t>
      </w:r>
      <w:r>
        <w:rPr>
          <w:rFonts w:ascii="Times New Roman" w:hAnsi="Times New Roman"/>
          <w:snapToGrid w:val="0"/>
          <w:sz w:val="20"/>
        </w:rPr>
        <w:tab/>
      </w:r>
      <w:r>
        <w:rPr>
          <w:rFonts w:ascii="Times New Roman" w:hAnsi="Times New Roman"/>
          <w:snapToGrid w:val="0"/>
          <w:sz w:val="20"/>
        </w:rPr>
        <w:tab/>
      </w:r>
      <w:r>
        <w:rPr>
          <w:rFonts w:ascii="Times New Roman" w:hAnsi="Times New Roman"/>
          <w:sz w:val="20"/>
        </w:rPr>
        <w:t>ENUMERATED {mdot1, m1, m10, m30, ...}</w:t>
      </w:r>
      <w:r>
        <w:rPr>
          <w:rFonts w:ascii="Times New Roman" w:hAnsi="Times New Roman"/>
          <w:snapToGrid w:val="0"/>
          <w:sz w:val="20"/>
        </w:rPr>
        <w:t>,</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napToGrid w:val="0"/>
          <w:sz w:val="20"/>
        </w:rPr>
      </w:pPr>
      <w:r>
        <w:rPr>
          <w:rFonts w:ascii="Times New Roman" w:hAnsi="Times New Roman"/>
          <w:snapToGrid w:val="0"/>
          <w:sz w:val="20"/>
        </w:rPr>
        <w:tab/>
      </w:r>
      <w:r>
        <w:rPr>
          <w:rFonts w:ascii="Times New Roman" w:hAnsi="Times New Roman"/>
          <w:snapToGrid w:val="0"/>
          <w:sz w:val="20"/>
        </w:rPr>
        <w:t>...</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 ASN1STOP</w:t>
      </w:r>
    </w:p>
    <w:p>
      <w:pPr>
        <w:snapToGrid w:val="0"/>
        <w:spacing w:before="180" w:beforeLines="50" w:after="180" w:afterLines="50" w:line="240" w:lineRule="auto"/>
        <w:rPr>
          <w:rFonts w:ascii="Times New Roman" w:hAnsi="Times New Roman"/>
          <w:sz w:val="20"/>
          <w:szCs w:val="24"/>
        </w:rPr>
      </w:pPr>
    </w:p>
    <w:tbl>
      <w:tblPr>
        <w:tblStyle w:val="23"/>
        <w:tblW w:w="9639"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pStyle w:val="56"/>
              <w:keepNext w:val="0"/>
              <w:keepLines w:val="0"/>
              <w:widowControl w:val="0"/>
              <w:snapToGrid w:val="0"/>
              <w:spacing w:before="180" w:beforeLines="50" w:after="180" w:afterLines="50"/>
              <w:rPr>
                <w:rFonts w:ascii="Times New Roman" w:hAnsi="Times New Roman"/>
                <w:sz w:val="20"/>
              </w:rPr>
            </w:pPr>
            <w:r>
              <w:rPr>
                <w:rFonts w:ascii="Times New Roman" w:hAnsi="Times New Roman"/>
                <w:i/>
                <w:sz w:val="20"/>
              </w:rPr>
              <w:t xml:space="preserve">NR-TimingQuality </w:t>
            </w:r>
            <w:r>
              <w:rPr>
                <w:rFonts w:ascii="Times New Roman" w:hAnsi="Times New Roman"/>
                <w:sz w:val="20"/>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58"/>
              <w:snapToGrid w:val="0"/>
              <w:spacing w:before="180" w:beforeLines="50" w:after="180" w:afterLines="50" w:line="240" w:lineRule="auto"/>
              <w:rPr>
                <w:rFonts w:ascii="Times New Roman" w:hAnsi="Times New Roman"/>
                <w:sz w:val="20"/>
                <w:lang w:eastAsia="ja-JP"/>
              </w:rPr>
            </w:pPr>
            <w:r>
              <w:rPr>
                <w:rFonts w:ascii="Times New Roman" w:hAnsi="Times New Roman"/>
                <w:b/>
                <w:i/>
                <w:sz w:val="20"/>
                <w:lang w:eastAsia="ja-JP"/>
              </w:rPr>
              <w:t>timingQualityValue</w:t>
            </w:r>
          </w:p>
          <w:p>
            <w:pPr>
              <w:pStyle w:val="58"/>
              <w:widowControl w:val="0"/>
              <w:snapToGrid w:val="0"/>
              <w:spacing w:before="180" w:beforeLines="50" w:after="180" w:afterLines="50" w:line="240" w:lineRule="auto"/>
              <w:rPr>
                <w:rFonts w:ascii="Times New Roman" w:hAnsi="Times New Roman"/>
                <w:sz w:val="20"/>
              </w:rPr>
            </w:pPr>
            <w:r>
              <w:rPr>
                <w:rFonts w:ascii="Times New Roman" w:hAnsi="Times New Roman"/>
                <w:sz w:val="20"/>
                <w:lang w:eastAsia="ja-JP"/>
              </w:rPr>
              <w:t xml:space="preserve">This field provides an estimate of uncertainty of the timing value for which the IE </w:t>
            </w:r>
            <w:r>
              <w:rPr>
                <w:rFonts w:ascii="Times New Roman" w:hAnsi="Times New Roman"/>
                <w:i/>
                <w:sz w:val="20"/>
              </w:rPr>
              <w:t xml:space="preserve">NR-TimingQuality </w:t>
            </w:r>
            <w:r>
              <w:rPr>
                <w:rFonts w:ascii="Times New Roman" w:hAnsi="Times New Roman"/>
                <w:sz w:val="20"/>
              </w:rPr>
              <w:t>is provided in units of metres</w:t>
            </w:r>
            <w:r>
              <w:rPr>
                <w:rFonts w:ascii="Times New Roman" w:hAnsi="Times New Roman"/>
                <w:sz w:val="20"/>
                <w:lang w:eastAsia="ja-JP"/>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58"/>
              <w:snapToGrid w:val="0"/>
              <w:spacing w:before="180" w:beforeLines="50" w:after="180" w:afterLines="50" w:line="240" w:lineRule="auto"/>
              <w:rPr>
                <w:rFonts w:ascii="Times New Roman" w:hAnsi="Times New Roman"/>
                <w:sz w:val="20"/>
                <w:lang w:eastAsia="ja-JP"/>
              </w:rPr>
            </w:pPr>
            <w:r>
              <w:rPr>
                <w:rFonts w:ascii="Times New Roman" w:hAnsi="Times New Roman"/>
                <w:b/>
                <w:i/>
                <w:sz w:val="20"/>
                <w:lang w:eastAsia="ja-JP"/>
              </w:rPr>
              <w:t>timingQualityResolution</w:t>
            </w:r>
          </w:p>
          <w:p>
            <w:pPr>
              <w:pStyle w:val="58"/>
              <w:widowControl w:val="0"/>
              <w:snapToGrid w:val="0"/>
              <w:spacing w:before="180" w:beforeLines="50" w:after="180" w:afterLines="50" w:line="240" w:lineRule="auto"/>
              <w:rPr>
                <w:rFonts w:ascii="Times New Roman" w:hAnsi="Times New Roman"/>
                <w:sz w:val="20"/>
              </w:rPr>
            </w:pPr>
            <w:r>
              <w:rPr>
                <w:rFonts w:ascii="Times New Roman" w:hAnsi="Times New Roman"/>
                <w:sz w:val="20"/>
                <w:lang w:eastAsia="ja-JP"/>
              </w:rPr>
              <w:t xml:space="preserve">This field provides the resolution used in the </w:t>
            </w:r>
            <w:r>
              <w:rPr>
                <w:rFonts w:ascii="Times New Roman" w:hAnsi="Times New Roman"/>
                <w:i/>
                <w:sz w:val="20"/>
              </w:rPr>
              <w:t>timingQualityValue</w:t>
            </w:r>
            <w:r>
              <w:rPr>
                <w:rFonts w:ascii="Times New Roman" w:hAnsi="Times New Roman"/>
                <w:sz w:val="20"/>
                <w:lang w:eastAsia="ja-JP"/>
              </w:rPr>
              <w:t xml:space="preserve"> field. Enumerated values </w:t>
            </w:r>
            <w:r>
              <w:rPr>
                <w:rFonts w:ascii="Times New Roman" w:hAnsi="Times New Roman"/>
                <w:i/>
                <w:sz w:val="20"/>
              </w:rPr>
              <w:t>mdot1</w:t>
            </w:r>
            <w:r>
              <w:rPr>
                <w:rFonts w:ascii="Times New Roman" w:hAnsi="Times New Roman"/>
                <w:sz w:val="20"/>
              </w:rPr>
              <w:t xml:space="preserve">, </w:t>
            </w:r>
            <w:r>
              <w:rPr>
                <w:rFonts w:ascii="Times New Roman" w:hAnsi="Times New Roman"/>
                <w:i/>
                <w:sz w:val="20"/>
              </w:rPr>
              <w:t>m1</w:t>
            </w:r>
            <w:r>
              <w:rPr>
                <w:rFonts w:ascii="Times New Roman" w:hAnsi="Times New Roman"/>
                <w:sz w:val="20"/>
              </w:rPr>
              <w:t xml:space="preserve">, </w:t>
            </w:r>
            <w:r>
              <w:rPr>
                <w:rFonts w:ascii="Times New Roman" w:hAnsi="Times New Roman"/>
                <w:i/>
                <w:sz w:val="20"/>
              </w:rPr>
              <w:t>m10</w:t>
            </w:r>
            <w:r>
              <w:rPr>
                <w:rFonts w:ascii="Times New Roman" w:hAnsi="Times New Roman"/>
                <w:sz w:val="20"/>
              </w:rPr>
              <w:t xml:space="preserve">, </w:t>
            </w:r>
            <w:r>
              <w:rPr>
                <w:rFonts w:ascii="Times New Roman" w:hAnsi="Times New Roman"/>
                <w:i/>
                <w:sz w:val="20"/>
              </w:rPr>
              <w:t>m30</w:t>
            </w:r>
            <w:r>
              <w:rPr>
                <w:rFonts w:ascii="Times New Roman" w:hAnsi="Times New Roman"/>
                <w:sz w:val="20"/>
              </w:rPr>
              <w:t xml:space="preserve"> correspond to 0.1, 1, 10, 30 metres, respectively.</w:t>
            </w:r>
          </w:p>
        </w:tc>
      </w:tr>
    </w:tbl>
    <w:p>
      <w:pPr>
        <w:pStyle w:val="58"/>
        <w:keepNext w:val="0"/>
        <w:keepLines w:val="0"/>
        <w:widowControl w:val="0"/>
        <w:snapToGrid w:val="0"/>
        <w:spacing w:before="180" w:beforeLines="50" w:after="180" w:afterLines="50" w:line="240" w:lineRule="auto"/>
        <w:jc w:val="both"/>
        <w:rPr>
          <w:rFonts w:ascii="Times New Roman" w:hAnsi="Times New Roman"/>
          <w:sz w:val="20"/>
        </w:rPr>
      </w:pPr>
      <w:r>
        <w:rPr>
          <w:rFonts w:ascii="Times New Roman" w:hAnsi="Times New Roman"/>
          <w:sz w:val="20"/>
        </w:rPr>
        <w:t xml:space="preserve">As we can see, the </w:t>
      </w:r>
      <w:r>
        <w:rPr>
          <w:rFonts w:ascii="Times New Roman" w:hAnsi="Times New Roman"/>
          <w:i/>
          <w:sz w:val="20"/>
          <w:szCs w:val="24"/>
        </w:rPr>
        <w:t>NR-TimingQuality</w:t>
      </w:r>
      <w:r>
        <w:rPr>
          <w:rFonts w:ascii="Times New Roman" w:hAnsi="Times New Roman"/>
          <w:sz w:val="20"/>
        </w:rPr>
        <w:t xml:space="preserve"> is also used to represent the deviation of the real UE location from the estimation</w:t>
      </w:r>
      <w:r>
        <w:rPr>
          <w:rFonts w:ascii="Times New Roman" w:hAnsi="Times New Roman"/>
          <w:i/>
          <w:sz w:val="20"/>
          <w:szCs w:val="24"/>
        </w:rPr>
        <w:t xml:space="preserve">. </w:t>
      </w:r>
      <w:r>
        <w:rPr>
          <w:rFonts w:ascii="Times New Roman" w:hAnsi="Times New Roman"/>
          <w:sz w:val="20"/>
        </w:rPr>
        <w:t xml:space="preserve">Basically, we think the candidate values of standard deviation of the error source model for integrity can be based on the candidate values of </w:t>
      </w:r>
      <w:r>
        <w:rPr>
          <w:rFonts w:ascii="Times New Roman" w:hAnsi="Times New Roman"/>
          <w:i/>
          <w:sz w:val="20"/>
          <w:szCs w:val="24"/>
        </w:rPr>
        <w:t>NR-TimingQuality</w:t>
      </w:r>
      <w:r>
        <w:rPr>
          <w:rFonts w:ascii="Times New Roman" w:hAnsi="Times New Roman"/>
          <w:sz w:val="20"/>
        </w:rPr>
        <w:t xml:space="preserve">. Further, the candidate mean values for integrity error source model can also be based on the candidate values of </w:t>
      </w:r>
      <w:r>
        <w:rPr>
          <w:rFonts w:ascii="Times New Roman" w:hAnsi="Times New Roman"/>
          <w:i/>
          <w:sz w:val="20"/>
          <w:szCs w:val="24"/>
        </w:rPr>
        <w:t>NR-TimingQuality.</w:t>
      </w:r>
    </w:p>
    <w:p>
      <w:pPr>
        <w:pStyle w:val="58"/>
        <w:keepNext w:val="0"/>
        <w:keepLines w:val="0"/>
        <w:widowControl w:val="0"/>
        <w:snapToGrid w:val="0"/>
        <w:spacing w:before="180" w:beforeLines="50" w:after="180" w:afterLines="50" w:line="240" w:lineRule="auto"/>
        <w:jc w:val="both"/>
        <w:rPr>
          <w:rFonts w:ascii="Times New Roman" w:hAnsi="Times New Roman"/>
          <w:sz w:val="20"/>
        </w:rPr>
      </w:pPr>
      <w:r>
        <w:rPr>
          <w:rFonts w:ascii="Times New Roman" w:hAnsi="Times New Roman"/>
          <w:sz w:val="20"/>
        </w:rPr>
        <w:t>In addition, for the target device</w:t>
      </w:r>
      <w:r>
        <w:rPr>
          <w:rFonts w:ascii="Times New Roman" w:hAnsi="Times New Roman"/>
          <w:i/>
          <w:sz w:val="20"/>
        </w:rPr>
        <w:t>, nr-DL-PRS-ExpectedRSTD-Uncertainty</w:t>
      </w:r>
      <w:r>
        <w:rPr>
          <w:rFonts w:ascii="Times New Roman" w:hAnsi="Times New Roman"/>
          <w:sz w:val="20"/>
        </w:rPr>
        <w:t xml:space="preserve"> indicates the uncertainty related to the location server’s apriori estimate of the target device location. The </w:t>
      </w:r>
      <w:r>
        <w:rPr>
          <w:rFonts w:ascii="Times New Roman" w:hAnsi="Times New Roman"/>
          <w:i/>
          <w:sz w:val="20"/>
        </w:rPr>
        <w:t>nr-DL-PRS-ExpectedRSTD</w:t>
      </w:r>
      <w:r>
        <w:rPr>
          <w:rFonts w:ascii="Times New Roman" w:hAnsi="Times New Roman"/>
          <w:sz w:val="20"/>
        </w:rPr>
        <w:t xml:space="preserve"> and </w:t>
      </w:r>
      <w:r>
        <w:rPr>
          <w:rFonts w:ascii="Times New Roman" w:hAnsi="Times New Roman"/>
          <w:i/>
          <w:sz w:val="20"/>
        </w:rPr>
        <w:t xml:space="preserve">nr-DL-PRS-ExpectedRSTD-Uncertainty </w:t>
      </w:r>
      <w:r>
        <w:rPr>
          <w:rFonts w:ascii="Times New Roman" w:hAnsi="Times New Roman"/>
          <w:sz w:val="20"/>
        </w:rPr>
        <w:t>together define the search window for PRS reception of a TRP for the target device.</w:t>
      </w:r>
    </w:p>
    <w:tbl>
      <w:tblPr>
        <w:tblStyle w:val="2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val="0"/>
              <w:snapToGrid w:val="0"/>
              <w:spacing w:before="180" w:beforeLines="50" w:after="180" w:afterLines="50" w:line="240" w:lineRule="auto"/>
              <w:jc w:val="both"/>
              <w:rPr>
                <w:rFonts w:ascii="Times New Roman" w:hAnsi="Times New Roman"/>
                <w:snapToGrid w:val="0"/>
                <w:sz w:val="20"/>
                <w:szCs w:val="24"/>
              </w:rPr>
            </w:pPr>
            <w:r>
              <w:rPr>
                <w:rFonts w:ascii="Times New Roman" w:hAnsi="Times New Roman"/>
                <w:i/>
                <w:sz w:val="20"/>
                <w:szCs w:val="24"/>
              </w:rPr>
              <w:t>nr-DL-PRS-ExpectedRSTD-Uncertainty</w:t>
            </w:r>
          </w:p>
          <w:p>
            <w:pPr>
              <w:widowControl w:val="0"/>
              <w:snapToGrid w:val="0"/>
              <w:spacing w:before="180" w:beforeLines="50" w:after="180" w:afterLines="50" w:line="240" w:lineRule="auto"/>
              <w:jc w:val="both"/>
              <w:rPr>
                <w:rFonts w:ascii="Times New Roman" w:hAnsi="Times New Roman"/>
                <w:snapToGrid w:val="0"/>
                <w:sz w:val="20"/>
                <w:szCs w:val="24"/>
              </w:rPr>
            </w:pPr>
            <w:r>
              <w:rPr>
                <w:rFonts w:ascii="Times New Roman" w:hAnsi="Times New Roman"/>
                <w:snapToGrid w:val="0"/>
                <w:sz w:val="20"/>
                <w:szCs w:val="24"/>
              </w:rPr>
              <w:t>The resolution R is</w:t>
            </w:r>
          </w:p>
          <w:p>
            <w:pPr>
              <w:widowControl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w:t>
            </w:r>
            <w:r>
              <w:rPr>
                <w:rFonts w:ascii="Times New Roman" w:hAnsi="Times New Roman"/>
                <w:snapToGrid w:val="0"/>
                <w:sz w:val="20"/>
                <w:szCs w:val="24"/>
              </w:rPr>
              <w:tab/>
            </w:r>
            <w:r>
              <w:rPr>
                <w:rFonts w:ascii="Times New Roman" w:hAnsi="Times New Roman"/>
                <w:snapToGrid w:val="0"/>
                <w:sz w:val="20"/>
                <w:szCs w:val="24"/>
              </w:rPr>
              <w:t>T</w:t>
            </w:r>
            <w:r>
              <w:rPr>
                <w:rFonts w:ascii="Times New Roman" w:hAnsi="Times New Roman"/>
                <w:snapToGrid w:val="0"/>
                <w:sz w:val="20"/>
                <w:szCs w:val="24"/>
                <w:vertAlign w:val="subscript"/>
              </w:rPr>
              <w:t>s</w:t>
            </w:r>
            <w:r>
              <w:rPr>
                <w:rFonts w:ascii="Times New Roman" w:hAnsi="Times New Roman"/>
                <w:snapToGrid w:val="0"/>
                <w:sz w:val="20"/>
                <w:szCs w:val="24"/>
              </w:rPr>
              <w:t xml:space="preserve"> </w:t>
            </w:r>
            <w:r>
              <w:rPr>
                <w:rFonts w:ascii="Times New Roman" w:hAnsi="Times New Roman"/>
                <w:sz w:val="20"/>
                <w:szCs w:val="24"/>
              </w:rPr>
              <w:t>if all PRS resources are in frequency range 2,</w:t>
            </w:r>
          </w:p>
          <w:p>
            <w:pPr>
              <w:widowControl w:val="0"/>
              <w:snapToGrid w:val="0"/>
              <w:spacing w:before="180" w:beforeLines="50" w:after="180" w:afterLines="50" w:line="240" w:lineRule="auto"/>
              <w:jc w:val="both"/>
              <w:rPr>
                <w:rFonts w:ascii="Times New Roman" w:hAnsi="Times New Roman"/>
                <w:snapToGrid w:val="0"/>
                <w:sz w:val="20"/>
                <w:szCs w:val="24"/>
              </w:rPr>
            </w:pPr>
            <w:r>
              <w:rPr>
                <w:rFonts w:ascii="Times New Roman" w:hAnsi="Times New Roman"/>
                <w:sz w:val="20"/>
                <w:szCs w:val="24"/>
              </w:rPr>
              <w:t>-</w:t>
            </w:r>
            <w:r>
              <w:rPr>
                <w:rFonts w:ascii="Times New Roman" w:hAnsi="Times New Roman"/>
                <w:snapToGrid w:val="0"/>
                <w:sz w:val="20"/>
                <w:szCs w:val="24"/>
              </w:rPr>
              <w:tab/>
            </w:r>
            <w:r>
              <w:rPr>
                <w:rFonts w:ascii="Times New Roman" w:hAnsi="Times New Roman"/>
                <w:snapToGrid w:val="0"/>
                <w:sz w:val="20"/>
                <w:szCs w:val="24"/>
              </w:rPr>
              <w:t>4</w:t>
            </w:r>
            <w:r>
              <w:rPr>
                <w:rFonts w:ascii="Times New Roman" w:hAnsi="Times New Roman"/>
                <w:snapToGrid w:val="0"/>
                <w:sz w:val="20"/>
                <w:szCs w:val="20"/>
              </w:rPr>
              <w:sym w:font="Symbol" w:char="F0B4"/>
            </w:r>
            <w:r>
              <w:rPr>
                <w:rFonts w:ascii="Times New Roman" w:hAnsi="Times New Roman"/>
                <w:snapToGrid w:val="0"/>
                <w:sz w:val="20"/>
                <w:szCs w:val="24"/>
              </w:rPr>
              <w:t>T</w:t>
            </w:r>
            <w:r>
              <w:rPr>
                <w:rFonts w:ascii="Times New Roman" w:hAnsi="Times New Roman"/>
                <w:snapToGrid w:val="0"/>
                <w:sz w:val="20"/>
                <w:szCs w:val="24"/>
                <w:vertAlign w:val="subscript"/>
              </w:rPr>
              <w:t>s</w:t>
            </w:r>
            <w:r>
              <w:rPr>
                <w:rFonts w:ascii="Times New Roman" w:hAnsi="Times New Roman"/>
                <w:snapToGrid w:val="0"/>
                <w:sz w:val="20"/>
                <w:szCs w:val="24"/>
              </w:rPr>
              <w:t xml:space="preserve"> otherwise,</w:t>
            </w:r>
          </w:p>
          <w:p>
            <w:pPr>
              <w:widowControl w:val="0"/>
              <w:snapToGrid w:val="0"/>
              <w:spacing w:before="180" w:beforeLines="50" w:after="180" w:afterLines="50" w:line="240" w:lineRule="auto"/>
              <w:jc w:val="both"/>
              <w:rPr>
                <w:rFonts w:ascii="Times New Roman" w:hAnsi="Times New Roman"/>
                <w:snapToGrid w:val="0"/>
                <w:sz w:val="20"/>
                <w:szCs w:val="24"/>
              </w:rPr>
            </w:pPr>
            <w:r>
              <w:rPr>
                <w:rFonts w:ascii="Times New Roman" w:hAnsi="Times New Roman"/>
                <w:sz w:val="20"/>
                <w:szCs w:val="24"/>
              </w:rPr>
              <w:t xml:space="preserve">with </w:t>
            </w:r>
            <w:r>
              <w:rPr>
                <w:rFonts w:ascii="Times New Roman" w:hAnsi="Times New Roman"/>
                <w:snapToGrid w:val="0"/>
                <w:sz w:val="20"/>
                <w:szCs w:val="24"/>
              </w:rPr>
              <w:t>T</w:t>
            </w:r>
            <w:r>
              <w:rPr>
                <w:rFonts w:ascii="Times New Roman" w:hAnsi="Times New Roman"/>
                <w:snapToGrid w:val="0"/>
                <w:sz w:val="20"/>
                <w:szCs w:val="24"/>
                <w:vertAlign w:val="subscript"/>
              </w:rPr>
              <w:t>s</w:t>
            </w:r>
            <w:r>
              <w:rPr>
                <w:rFonts w:ascii="Times New Roman" w:hAnsi="Times New Roman"/>
                <w:snapToGrid w:val="0"/>
                <w:sz w:val="20"/>
                <w:szCs w:val="24"/>
              </w:rPr>
              <w:t>=1/(15000*2048) seconds.</w:t>
            </w:r>
          </w:p>
          <w:p>
            <w:pPr>
              <w:widowControl w:val="0"/>
              <w:snapToGrid w:val="0"/>
              <w:spacing w:before="180" w:beforeLines="50" w:after="180" w:afterLines="50" w:line="240" w:lineRule="auto"/>
              <w:jc w:val="both"/>
              <w:rPr>
                <w:rFonts w:ascii="Times New Roman" w:hAnsi="Times New Roman"/>
                <w:snapToGrid w:val="0"/>
                <w:sz w:val="20"/>
                <w:szCs w:val="24"/>
              </w:rPr>
            </w:pPr>
            <w:r>
              <w:rPr>
                <w:rFonts w:ascii="Times New Roman" w:hAnsi="Times New Roman"/>
                <w:snapToGrid w:val="0"/>
                <w:sz w:val="20"/>
                <w:szCs w:val="24"/>
              </w:rPr>
              <w:t>The target device may assume that the beginning of the subframe for the PRS of this TRP is received within the search window of size</w:t>
            </w:r>
          </w:p>
          <w:p>
            <w:pPr>
              <w:widowControl w:val="0"/>
              <w:snapToGrid w:val="0"/>
              <w:spacing w:before="180" w:beforeLines="50" w:after="180" w:afterLines="50" w:line="240" w:lineRule="auto"/>
              <w:jc w:val="both"/>
              <w:rPr>
                <w:rFonts w:ascii="Times New Roman" w:hAnsi="Times New Roman"/>
                <w:snapToGrid w:val="0"/>
                <w:sz w:val="20"/>
                <w:szCs w:val="24"/>
              </w:rPr>
            </w:pPr>
            <w:r>
              <w:rPr>
                <w:rFonts w:ascii="Times New Roman" w:hAnsi="Times New Roman"/>
                <w:sz w:val="20"/>
                <w:szCs w:val="24"/>
              </w:rPr>
              <w:t>-</w:t>
            </w:r>
            <w:r>
              <w:rPr>
                <w:rFonts w:ascii="Times New Roman" w:hAnsi="Times New Roman"/>
                <w:snapToGrid w:val="0"/>
                <w:sz w:val="20"/>
                <w:szCs w:val="24"/>
              </w:rPr>
              <w:tab/>
            </w:r>
            <w:r>
              <w:rPr>
                <w:rFonts w:ascii="Times New Roman" w:hAnsi="Times New Roman"/>
                <w:snapToGrid w:val="0"/>
                <w:sz w:val="20"/>
                <w:szCs w:val="24"/>
              </w:rPr>
              <w:t>[</w:t>
            </w:r>
            <w:r>
              <w:rPr>
                <w:rFonts w:ascii="Times New Roman" w:hAnsi="Times New Roman"/>
                <w:i/>
                <w:snapToGrid w:val="0"/>
                <w:sz w:val="20"/>
                <w:szCs w:val="24"/>
              </w:rPr>
              <w:t>-nr-</w:t>
            </w:r>
            <w:r>
              <w:rPr>
                <w:rFonts w:ascii="Times New Roman" w:hAnsi="Times New Roman"/>
                <w:sz w:val="20"/>
                <w:szCs w:val="24"/>
              </w:rPr>
              <w:t>DL</w:t>
            </w:r>
            <w:r>
              <w:rPr>
                <w:rFonts w:ascii="Times New Roman" w:hAnsi="Times New Roman"/>
                <w:i/>
                <w:snapToGrid w:val="0"/>
                <w:sz w:val="20"/>
                <w:szCs w:val="24"/>
              </w:rPr>
              <w:t>-PRS-ExpectedRSTD-Uncertainty</w:t>
            </w:r>
            <w:r>
              <w:rPr>
                <w:rFonts w:ascii="Times New Roman" w:hAnsi="Times New Roman"/>
                <w:snapToGrid w:val="0"/>
                <w:sz w:val="20"/>
                <w:szCs w:val="20"/>
              </w:rPr>
              <w:sym w:font="Symbol" w:char="F0B4"/>
            </w:r>
            <w:r>
              <w:rPr>
                <w:rFonts w:ascii="Times New Roman" w:hAnsi="Times New Roman"/>
                <w:snapToGrid w:val="0"/>
                <w:sz w:val="20"/>
                <w:szCs w:val="24"/>
              </w:rPr>
              <w:t xml:space="preserve">R </w:t>
            </w:r>
            <w:r>
              <w:rPr>
                <w:rFonts w:ascii="Times New Roman" w:hAnsi="Times New Roman"/>
                <w:i/>
                <w:snapToGrid w:val="0"/>
                <w:sz w:val="20"/>
                <w:szCs w:val="24"/>
              </w:rPr>
              <w:t>;</w:t>
            </w:r>
            <w:r>
              <w:rPr>
                <w:rFonts w:ascii="Times New Roman" w:hAnsi="Times New Roman"/>
                <w:snapToGrid w:val="0"/>
                <w:sz w:val="20"/>
                <w:szCs w:val="24"/>
              </w:rPr>
              <w:t xml:space="preserve"> </w:t>
            </w:r>
            <w:r>
              <w:rPr>
                <w:rFonts w:ascii="Times New Roman" w:hAnsi="Times New Roman"/>
                <w:i/>
                <w:snapToGrid w:val="0"/>
                <w:sz w:val="20"/>
                <w:szCs w:val="24"/>
              </w:rPr>
              <w:t>nr-DL-PRS-ExpectedRSTD-Uncertainty</w:t>
            </w:r>
            <w:r>
              <w:rPr>
                <w:rFonts w:ascii="Times New Roman" w:hAnsi="Times New Roman"/>
                <w:snapToGrid w:val="0"/>
                <w:sz w:val="20"/>
                <w:szCs w:val="20"/>
              </w:rPr>
              <w:sym w:font="Symbol" w:char="F0B4"/>
            </w:r>
            <w:r>
              <w:rPr>
                <w:rFonts w:ascii="Times New Roman" w:hAnsi="Times New Roman"/>
                <w:snapToGrid w:val="0"/>
                <w:sz w:val="20"/>
                <w:szCs w:val="24"/>
              </w:rPr>
              <w:t>R] centred at T</w:t>
            </w:r>
            <w:r>
              <w:rPr>
                <w:rFonts w:ascii="Times New Roman" w:hAnsi="Times New Roman"/>
                <w:snapToGrid w:val="0"/>
                <w:sz w:val="20"/>
                <w:szCs w:val="24"/>
                <w:vertAlign w:val="subscript"/>
              </w:rPr>
              <w:t>REF</w:t>
            </w:r>
            <w:r>
              <w:rPr>
                <w:rFonts w:ascii="Times New Roman" w:hAnsi="Times New Roman"/>
                <w:i/>
                <w:snapToGrid w:val="0"/>
                <w:sz w:val="20"/>
                <w:szCs w:val="24"/>
              </w:rPr>
              <w:t>+</w:t>
            </w:r>
            <w:r>
              <w:rPr>
                <w:rFonts w:ascii="Times New Roman" w:hAnsi="Times New Roman"/>
                <w:snapToGrid w:val="0"/>
                <w:sz w:val="20"/>
                <w:szCs w:val="24"/>
              </w:rPr>
              <w:t>1 millisecond</w:t>
            </w:r>
            <w:r>
              <w:rPr>
                <w:rFonts w:ascii="Times New Roman" w:hAnsi="Times New Roman"/>
                <w:snapToGrid w:val="0"/>
                <w:sz w:val="20"/>
                <w:szCs w:val="20"/>
              </w:rPr>
              <w:sym w:font="Symbol" w:char="F0B4"/>
            </w:r>
            <w:r>
              <w:rPr>
                <w:rFonts w:ascii="Times New Roman" w:hAnsi="Times New Roman"/>
                <w:snapToGrid w:val="0"/>
                <w:sz w:val="20"/>
                <w:szCs w:val="24"/>
              </w:rPr>
              <w:t>N+</w:t>
            </w:r>
            <w:r>
              <w:rPr>
                <w:rFonts w:ascii="Times New Roman" w:hAnsi="Times New Roman"/>
                <w:i/>
                <w:snapToGrid w:val="0"/>
                <w:sz w:val="20"/>
                <w:szCs w:val="24"/>
              </w:rPr>
              <w:t>nr-DL-PRS-ExpectedRSTD</w:t>
            </w:r>
            <w:r>
              <w:rPr>
                <w:rFonts w:ascii="Times New Roman" w:hAnsi="Times New Roman"/>
                <w:snapToGrid w:val="0"/>
                <w:sz w:val="20"/>
                <w:szCs w:val="20"/>
              </w:rPr>
              <w:sym w:font="Symbol" w:char="F0B4"/>
            </w:r>
            <w:r>
              <w:rPr>
                <w:rFonts w:ascii="Times New Roman" w:hAnsi="Times New Roman"/>
                <w:snapToGrid w:val="0"/>
                <w:sz w:val="20"/>
                <w:szCs w:val="24"/>
              </w:rPr>
              <w:t>4</w:t>
            </w:r>
            <w:r>
              <w:rPr>
                <w:rFonts w:ascii="Times New Roman" w:hAnsi="Times New Roman"/>
                <w:snapToGrid w:val="0"/>
                <w:sz w:val="20"/>
                <w:szCs w:val="20"/>
              </w:rPr>
              <w:sym w:font="Symbol" w:char="F0B4"/>
            </w:r>
            <w:r>
              <w:rPr>
                <w:rFonts w:ascii="Times New Roman" w:hAnsi="Times New Roman"/>
                <w:snapToGrid w:val="0"/>
                <w:sz w:val="20"/>
                <w:szCs w:val="24"/>
              </w:rPr>
              <w:t>T</w:t>
            </w:r>
            <w:r>
              <w:rPr>
                <w:rFonts w:ascii="Times New Roman" w:hAnsi="Times New Roman"/>
                <w:snapToGrid w:val="0"/>
                <w:sz w:val="20"/>
                <w:szCs w:val="24"/>
                <w:vertAlign w:val="subscript"/>
              </w:rPr>
              <w:t>s</w:t>
            </w:r>
            <w:r>
              <w:rPr>
                <w:rFonts w:ascii="Times New Roman" w:hAnsi="Times New Roman"/>
                <w:snapToGrid w:val="0"/>
                <w:sz w:val="20"/>
                <w:szCs w:val="24"/>
              </w:rPr>
              <w:t>,</w:t>
            </w:r>
          </w:p>
          <w:p>
            <w:pPr>
              <w:widowControl w:val="0"/>
              <w:snapToGrid w:val="0"/>
              <w:spacing w:before="180" w:beforeLines="50" w:after="180" w:afterLines="50" w:line="240" w:lineRule="auto"/>
              <w:jc w:val="both"/>
              <w:rPr>
                <w:rFonts w:ascii="Times New Roman" w:hAnsi="Times New Roman"/>
                <w:snapToGrid w:val="0"/>
                <w:sz w:val="20"/>
                <w:szCs w:val="24"/>
              </w:rPr>
            </w:pPr>
            <w:r>
              <w:rPr>
                <w:rFonts w:ascii="Times New Roman" w:hAnsi="Times New Roman"/>
                <w:snapToGrid w:val="0"/>
                <w:sz w:val="20"/>
                <w:szCs w:val="24"/>
              </w:rPr>
              <w:t>where T</w:t>
            </w:r>
            <w:r>
              <w:rPr>
                <w:rFonts w:ascii="Times New Roman" w:hAnsi="Times New Roman"/>
                <w:snapToGrid w:val="0"/>
                <w:sz w:val="20"/>
                <w:szCs w:val="24"/>
                <w:vertAlign w:val="subscript"/>
              </w:rPr>
              <w:t>REF</w:t>
            </w:r>
            <w:r>
              <w:rPr>
                <w:rFonts w:ascii="Times New Roman" w:hAnsi="Times New Roman"/>
                <w:snapToGrid w:val="0"/>
                <w:sz w:val="20"/>
                <w:szCs w:val="24"/>
              </w:rPr>
              <w:t xml:space="preserve"> is the reception time of the beginning of the subframe for the PRS of the assistance data reference TRP at the target device antenna connector, and N can be calculated based on</w:t>
            </w:r>
          </w:p>
          <w:p>
            <w:pPr>
              <w:widowControl w:val="0"/>
              <w:snapToGrid w:val="0"/>
              <w:spacing w:before="180" w:beforeLines="50" w:after="180" w:afterLines="50" w:line="240" w:lineRule="auto"/>
              <w:jc w:val="both"/>
              <w:rPr>
                <w:rFonts w:ascii="Times New Roman" w:hAnsi="Times New Roman"/>
                <w:i/>
                <w:snapToGrid w:val="0"/>
                <w:sz w:val="20"/>
                <w:szCs w:val="24"/>
              </w:rPr>
            </w:pPr>
            <w:r>
              <w:rPr>
                <w:rFonts w:ascii="Times New Roman" w:hAnsi="Times New Roman"/>
                <w:sz w:val="20"/>
                <w:szCs w:val="24"/>
              </w:rPr>
              <w:t>-</w:t>
            </w:r>
            <w:r>
              <w:rPr>
                <w:rFonts w:ascii="Times New Roman" w:hAnsi="Times New Roman"/>
                <w:snapToGrid w:val="0"/>
                <w:sz w:val="20"/>
                <w:szCs w:val="24"/>
              </w:rPr>
              <w:tab/>
            </w:r>
            <w:r>
              <w:rPr>
                <w:rFonts w:ascii="Times New Roman" w:hAnsi="Times New Roman"/>
                <w:i/>
                <w:snapToGrid w:val="0"/>
                <w:sz w:val="20"/>
                <w:szCs w:val="24"/>
              </w:rPr>
              <w:t>nr-DL-PRS-SFN0-Offset</w:t>
            </w:r>
          </w:p>
          <w:p>
            <w:pPr>
              <w:widowControl w:val="0"/>
              <w:snapToGrid w:val="0"/>
              <w:spacing w:before="180" w:beforeLines="50" w:after="180" w:afterLines="50" w:line="240" w:lineRule="auto"/>
              <w:jc w:val="both"/>
              <w:rPr>
                <w:rFonts w:ascii="Times New Roman" w:hAnsi="Times New Roman"/>
                <w:i/>
                <w:snapToGrid w:val="0"/>
                <w:sz w:val="20"/>
                <w:szCs w:val="24"/>
              </w:rPr>
            </w:pPr>
            <w:r>
              <w:rPr>
                <w:rFonts w:ascii="Times New Roman" w:hAnsi="Times New Roman"/>
                <w:sz w:val="20"/>
                <w:szCs w:val="24"/>
              </w:rPr>
              <w:t>-</w:t>
            </w:r>
            <w:r>
              <w:rPr>
                <w:rFonts w:ascii="Times New Roman" w:hAnsi="Times New Roman"/>
                <w:snapToGrid w:val="0"/>
                <w:sz w:val="20"/>
                <w:szCs w:val="24"/>
              </w:rPr>
              <w:tab/>
            </w:r>
            <w:r>
              <w:rPr>
                <w:rFonts w:ascii="Times New Roman" w:hAnsi="Times New Roman"/>
                <w:i/>
                <w:snapToGrid w:val="0"/>
                <w:sz w:val="20"/>
                <w:szCs w:val="24"/>
              </w:rPr>
              <w:t>dl-PRS-Periodicity-and-ResourceSetSlotOffset</w:t>
            </w:r>
          </w:p>
          <w:p>
            <w:pPr>
              <w:widowControl w:val="0"/>
              <w:snapToGrid w:val="0"/>
              <w:spacing w:before="180" w:beforeLines="50" w:after="180" w:afterLines="50" w:line="240" w:lineRule="auto"/>
              <w:jc w:val="both"/>
              <w:rPr>
                <w:rFonts w:ascii="Times New Roman" w:hAnsi="Times New Roman"/>
                <w:snapToGrid w:val="0"/>
                <w:sz w:val="20"/>
                <w:szCs w:val="24"/>
              </w:rPr>
            </w:pPr>
            <w:r>
              <w:rPr>
                <w:rFonts w:ascii="Times New Roman" w:hAnsi="Times New Roman"/>
                <w:sz w:val="20"/>
                <w:szCs w:val="24"/>
              </w:rPr>
              <w:t>-</w:t>
            </w:r>
            <w:r>
              <w:rPr>
                <w:rFonts w:ascii="Times New Roman" w:hAnsi="Times New Roman"/>
                <w:snapToGrid w:val="0"/>
                <w:sz w:val="20"/>
                <w:szCs w:val="24"/>
              </w:rPr>
              <w:tab/>
            </w:r>
            <w:r>
              <w:rPr>
                <w:rFonts w:ascii="Times New Roman" w:hAnsi="Times New Roman"/>
                <w:i/>
                <w:snapToGrid w:val="0"/>
                <w:sz w:val="20"/>
                <w:szCs w:val="24"/>
              </w:rPr>
              <w:t>dl-PRS-ResourceSlotOffset.</w:t>
            </w:r>
          </w:p>
        </w:tc>
      </w:tr>
    </w:tbl>
    <w:p>
      <w:pPr>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 xml:space="preserve">According to the definition of search window for target device, the IE </w:t>
      </w:r>
      <w:r>
        <w:rPr>
          <w:rFonts w:ascii="Times New Roman" w:hAnsi="Times New Roman"/>
          <w:i/>
          <w:sz w:val="20"/>
          <w:szCs w:val="24"/>
        </w:rPr>
        <w:t xml:space="preserve">nr-DL-PRS-ExpectedRSTD-Uncertainty </w:t>
      </w:r>
      <w:r>
        <w:rPr>
          <w:rFonts w:ascii="Times New Roman" w:hAnsi="Times New Roman"/>
          <w:sz w:val="20"/>
          <w:szCs w:val="24"/>
        </w:rPr>
        <w:t>may have some relationship with the candidate values of standard deviation of the error source model for integrity.</w:t>
      </w:r>
    </w:p>
    <w:p>
      <w:pPr>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Proposal 2: For timing related error source model for integrity, the candidate values of the standard deviation and mean can be based on the range of</w:t>
      </w:r>
      <w:r>
        <w:rPr>
          <w:rFonts w:ascii="Times New Roman" w:hAnsi="Times New Roman"/>
          <w:sz w:val="20"/>
          <w:szCs w:val="24"/>
        </w:rPr>
        <w:t xml:space="preserve"> </w:t>
      </w:r>
      <w:r>
        <w:rPr>
          <w:rFonts w:ascii="Times New Roman" w:hAnsi="Times New Roman"/>
          <w:b/>
          <w:i/>
          <w:sz w:val="20"/>
          <w:szCs w:val="24"/>
        </w:rPr>
        <w:t>NR-TimingQuality or nr-DL-PRS-ExpectedRSTD-Uncertainty.</w:t>
      </w:r>
    </w:p>
    <w:p>
      <w:pPr>
        <w:snapToGrid w:val="0"/>
        <w:spacing w:before="180" w:beforeLines="50" w:after="180" w:afterLines="50" w:line="240" w:lineRule="auto"/>
        <w:jc w:val="both"/>
        <w:rPr>
          <w:rFonts w:ascii="Times New Roman" w:hAnsi="Times New Roman"/>
          <w:b/>
          <w:i/>
          <w:sz w:val="20"/>
          <w:szCs w:val="24"/>
        </w:rPr>
      </w:pPr>
    </w:p>
    <w:p>
      <w:pPr>
        <w:pStyle w:val="4"/>
        <w:topLinePunct/>
        <w:adjustRightInd w:val="0"/>
        <w:snapToGrid w:val="0"/>
        <w:spacing w:before="180" w:beforeLines="50" w:after="180" w:afterLines="50" w:line="240" w:lineRule="auto"/>
        <w:jc w:val="both"/>
        <w:rPr>
          <w:rFonts w:ascii="Times New Roman" w:hAnsi="Times New Roman"/>
          <w:b/>
        </w:rPr>
      </w:pPr>
      <w:r>
        <w:rPr>
          <w:rFonts w:ascii="Times New Roman" w:hAnsi="Times New Roman"/>
          <w:b/>
        </w:rPr>
        <w:t>2.1.2 Error source model for angle related measurements</w:t>
      </w:r>
    </w:p>
    <w:p>
      <w:pPr>
        <w:overflowPunct w:val="0"/>
        <w:autoSpaceDE w:val="0"/>
        <w:autoSpaceDN w:val="0"/>
        <w:adjustRightInd w:val="0"/>
        <w:snapToGrid w:val="0"/>
        <w:spacing w:before="180" w:beforeLines="50" w:after="180" w:afterLines="50" w:line="240" w:lineRule="auto"/>
        <w:jc w:val="both"/>
        <w:textAlignment w:val="baseline"/>
        <w:rPr>
          <w:rFonts w:ascii="Times New Roman" w:hAnsi="Times New Roman"/>
          <w:sz w:val="20"/>
          <w:szCs w:val="24"/>
        </w:rPr>
      </w:pPr>
      <w:r>
        <w:rPr>
          <w:rFonts w:ascii="Times New Roman" w:hAnsi="Times New Roman"/>
          <w:sz w:val="20"/>
          <w:szCs w:val="24"/>
        </w:rPr>
        <w:t>In the last meeting, AoA/ZoA measurements has been agreed to be error source for UL-AOA positioning method.</w:t>
      </w:r>
    </w:p>
    <w:p>
      <w:pPr>
        <w:overflowPunct w:val="0"/>
        <w:autoSpaceDE w:val="0"/>
        <w:autoSpaceDN w:val="0"/>
        <w:adjustRightInd w:val="0"/>
        <w:snapToGrid w:val="0"/>
        <w:spacing w:before="180" w:beforeLines="50" w:after="180" w:afterLines="50" w:line="240" w:lineRule="auto"/>
        <w:jc w:val="both"/>
        <w:textAlignment w:val="baseline"/>
        <w:rPr>
          <w:rFonts w:ascii="Times New Roman" w:hAnsi="Times New Roman"/>
          <w:sz w:val="20"/>
          <w:szCs w:val="24"/>
        </w:rPr>
      </w:pPr>
      <w:r>
        <w:rPr>
          <w:rFonts w:ascii="Times New Roman" w:hAnsi="Times New Roman"/>
          <w:sz w:val="20"/>
          <w:szCs w:val="24"/>
        </w:rPr>
        <w:t>Figure 3 and 4 show the evaluation of AoA/ZoA error in terms of degree for angle estimation accuracy, MUSIC method with 100MHz bandwidth is used. We evaluate the error in RMa scenario where AoA/ZoA measurements only based on LOS links are shown in the results. Similarly, AoA and ZoA error results are also expected to be normal distribution respectively and the evaluation results reveal that the curve is similar to normal distribution.</w:t>
      </w:r>
    </w:p>
    <w:p>
      <w:pPr>
        <w:overflowPunct w:val="0"/>
        <w:autoSpaceDE w:val="0"/>
        <w:autoSpaceDN w:val="0"/>
        <w:adjustRightInd w:val="0"/>
        <w:snapToGrid w:val="0"/>
        <w:spacing w:before="180" w:beforeLines="50" w:after="180" w:afterLines="50" w:line="240" w:lineRule="auto"/>
        <w:jc w:val="both"/>
        <w:textAlignment w:val="baseline"/>
        <w:rPr>
          <w:rFonts w:ascii="Times New Roman" w:hAnsi="Times New Roman"/>
          <w:sz w:val="20"/>
          <w:szCs w:val="24"/>
        </w:rPr>
      </w:pPr>
      <w:r>
        <w:rPr>
          <w:rFonts w:ascii="Times New Roman" w:hAnsi="Times New Roman"/>
          <w:sz w:val="20"/>
          <w:szCs w:val="24"/>
        </w:rPr>
        <w:t>More simulation assumptions can be found in table 5-2 in section 5</w:t>
      </w:r>
    </w:p>
    <w:p>
      <w:pPr>
        <w:snapToGrid w:val="0"/>
        <w:spacing w:before="180" w:beforeLines="50" w:after="180" w:afterLines="50" w:line="240" w:lineRule="auto"/>
        <w:jc w:val="center"/>
        <w:rPr>
          <w:szCs w:val="24"/>
        </w:rPr>
      </w:pPr>
      <w:r>
        <w:rPr>
          <w:szCs w:val="24"/>
        </w:rPr>
        <w:drawing>
          <wp:inline distT="0" distB="0" distL="0" distR="0">
            <wp:extent cx="5240020" cy="1670050"/>
            <wp:effectExtent l="0" t="0" r="0" b="6350"/>
            <wp:docPr id="19" name="图片 19" descr="A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AO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40020" cy="1670050"/>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4"/>
        </w:rPr>
      </w:pPr>
      <w:r>
        <w:rPr>
          <w:rFonts w:ascii="Times New Roman" w:hAnsi="Times New Roman"/>
          <w:sz w:val="20"/>
          <w:szCs w:val="24"/>
        </w:rPr>
        <w:t>Figure 3 AoA error histogram in RMa</w:t>
      </w:r>
    </w:p>
    <w:p>
      <w:pPr>
        <w:snapToGrid w:val="0"/>
        <w:spacing w:before="180" w:beforeLines="50" w:after="180" w:afterLines="50" w:line="240" w:lineRule="auto"/>
        <w:jc w:val="center"/>
        <w:rPr>
          <w:szCs w:val="24"/>
        </w:rPr>
      </w:pPr>
      <w:r>
        <w:rPr>
          <w:szCs w:val="24"/>
        </w:rPr>
        <w:drawing>
          <wp:inline distT="0" distB="0" distL="0" distR="0">
            <wp:extent cx="5271770" cy="1685925"/>
            <wp:effectExtent l="0" t="0" r="5080" b="9525"/>
            <wp:docPr id="18" name="图片 18" descr="Z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ZO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71770" cy="1685925"/>
                    </a:xfrm>
                    <a:prstGeom prst="rect">
                      <a:avLst/>
                    </a:prstGeom>
                    <a:noFill/>
                    <a:ln>
                      <a:noFill/>
                    </a:ln>
                  </pic:spPr>
                </pic:pic>
              </a:graphicData>
            </a:graphic>
          </wp:inline>
        </w:drawing>
      </w:r>
    </w:p>
    <w:p>
      <w:pPr>
        <w:snapToGrid w:val="0"/>
        <w:spacing w:before="180" w:beforeLines="50" w:after="180" w:afterLines="50" w:line="240" w:lineRule="auto"/>
        <w:jc w:val="center"/>
        <w:rPr>
          <w:szCs w:val="24"/>
        </w:rPr>
      </w:pPr>
      <w:r>
        <w:rPr>
          <w:rFonts w:ascii="Times New Roman" w:hAnsi="Times New Roman"/>
          <w:sz w:val="20"/>
          <w:szCs w:val="24"/>
        </w:rPr>
        <w:t>Figure 4 ZoA error histogram in RMa</w:t>
      </w:r>
    </w:p>
    <w:p>
      <w:pPr>
        <w:topLinePunct/>
        <w:autoSpaceDE w:val="0"/>
        <w:autoSpaceDN w:val="0"/>
        <w:adjustRightInd w:val="0"/>
        <w:snapToGrid w:val="0"/>
        <w:spacing w:before="180" w:beforeLines="50" w:after="0" w:line="240" w:lineRule="auto"/>
        <w:jc w:val="both"/>
        <w:rPr>
          <w:rFonts w:ascii="Times New Roman" w:hAnsi="Times New Roman"/>
          <w:b/>
          <w:i/>
          <w:sz w:val="20"/>
          <w:szCs w:val="24"/>
        </w:rPr>
      </w:pPr>
      <w:r>
        <w:rPr>
          <w:rFonts w:ascii="Times New Roman" w:hAnsi="Times New Roman"/>
          <w:b/>
          <w:i/>
          <w:sz w:val="20"/>
          <w:szCs w:val="24"/>
        </w:rPr>
        <w:t>Proposal 3: The angle related measurements should be model as Gaussian distribution.</w:t>
      </w:r>
    </w:p>
    <w:p>
      <w:pPr>
        <w:numPr>
          <w:ilvl w:val="0"/>
          <w:numId w:val="6"/>
        </w:numPr>
        <w:topLinePunct/>
        <w:autoSpaceDE w:val="0"/>
        <w:autoSpaceDN w:val="0"/>
        <w:adjustRightInd w:val="0"/>
        <w:snapToGrid w:val="0"/>
        <w:spacing w:after="180" w:afterLines="50" w:line="240" w:lineRule="auto"/>
        <w:ind w:left="839"/>
        <w:jc w:val="both"/>
        <w:rPr>
          <w:rFonts w:ascii="Times New Roman" w:hAnsi="Times New Roman"/>
          <w:b/>
          <w:i/>
          <w:sz w:val="20"/>
          <w:szCs w:val="24"/>
        </w:rPr>
      </w:pPr>
      <w:r>
        <w:rPr>
          <w:rFonts w:ascii="Times New Roman" w:hAnsi="Times New Roman"/>
          <w:b/>
          <w:i/>
          <w:sz w:val="20"/>
          <w:szCs w:val="24"/>
        </w:rPr>
        <w:t>AoA and ZoA errors are separately modeled.</w:t>
      </w:r>
    </w:p>
    <w:p>
      <w:pPr>
        <w:topLinePunct/>
        <w:autoSpaceDE w:val="0"/>
        <w:autoSpaceDN w:val="0"/>
        <w:adjustRightInd w:val="0"/>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 xml:space="preserve">Proposal 4: There is no need to express </w:t>
      </w:r>
      <w:r>
        <w:rPr>
          <w:rFonts w:ascii="Times New Roman" w:hAnsi="Times New Roman"/>
          <w:b/>
          <w:i/>
          <w:sz w:val="20"/>
          <w:szCs w:val="24"/>
          <w:lang w:val="en-CA"/>
        </w:rPr>
        <w:t>the</w:t>
      </w:r>
      <w:r>
        <w:rPr>
          <w:rFonts w:ascii="Times New Roman" w:hAnsi="Times New Roman"/>
          <w:b/>
          <w:i/>
          <w:sz w:val="20"/>
          <w:szCs w:val="24"/>
        </w:rPr>
        <w:t xml:space="preserve"> angle related</w:t>
      </w:r>
      <w:r>
        <w:rPr>
          <w:rFonts w:ascii="Times New Roman" w:hAnsi="Times New Roman"/>
          <w:b/>
          <w:i/>
          <w:sz w:val="20"/>
          <w:szCs w:val="24"/>
          <w:lang w:val="en-CA"/>
        </w:rPr>
        <w:t xml:space="preserve"> error </w:t>
      </w:r>
      <w:r>
        <w:rPr>
          <w:rFonts w:ascii="Times New Roman" w:hAnsi="Times New Roman"/>
          <w:b/>
          <w:i/>
          <w:sz w:val="20"/>
          <w:szCs w:val="24"/>
        </w:rPr>
        <w:t xml:space="preserve">as </w:t>
      </w:r>
      <w:r>
        <w:rPr>
          <w:rFonts w:ascii="Times New Roman" w:hAnsi="Times New Roman"/>
          <w:b/>
          <w:i/>
          <w:sz w:val="20"/>
          <w:szCs w:val="24"/>
          <w:lang w:val="en-CA"/>
        </w:rPr>
        <w:t>a defined function of AoA/ZoA in LCS</w:t>
      </w:r>
      <w:r>
        <w:rPr>
          <w:rFonts w:ascii="Times New Roman" w:hAnsi="Times New Roman"/>
          <w:b/>
          <w:i/>
          <w:sz w:val="20"/>
          <w:szCs w:val="24"/>
        </w:rPr>
        <w:t>.</w:t>
      </w:r>
    </w:p>
    <w:p>
      <w:pPr>
        <w:topLinePunct/>
        <w:autoSpaceDE/>
        <w:autoSpaceDN/>
        <w:adjustRightInd/>
        <w:snapToGrid w:val="0"/>
        <w:spacing w:before="180" w:beforeLines="50" w:after="180" w:afterLines="50" w:line="240" w:lineRule="auto"/>
        <w:jc w:val="both"/>
        <w:rPr>
          <w:rFonts w:ascii="Times New Roman" w:hAnsi="Times New Roman"/>
          <w:i/>
          <w:sz w:val="20"/>
          <w:szCs w:val="24"/>
        </w:rPr>
      </w:pPr>
      <w:r>
        <w:rPr>
          <w:rFonts w:ascii="Times New Roman" w:hAnsi="Times New Roman"/>
          <w:sz w:val="20"/>
          <w:szCs w:val="24"/>
        </w:rPr>
        <w:t xml:space="preserve">A similar strategy is considered to configure the </w:t>
      </w:r>
      <w:r>
        <w:rPr>
          <w:rFonts w:ascii="Times New Roman" w:hAnsi="Times New Roman"/>
          <w:i/>
          <w:sz w:val="20"/>
          <w:szCs w:val="24"/>
        </w:rPr>
        <w:t xml:space="preserve">mean </w:t>
      </w:r>
      <w:r>
        <w:rPr>
          <w:rFonts w:ascii="Times New Roman" w:hAnsi="Times New Roman"/>
          <w:sz w:val="20"/>
          <w:szCs w:val="24"/>
        </w:rPr>
        <w:t xml:space="preserve">and deviation value for angle related measurements. From the simulation, we can simply determine the mean value of angle related error model to be zero for LoS cases. As to the standard deviation, it may have the relationship with the expected value and uncertainty range in the existing assistance information as follows. Similarly, the candidate values of mean and standard deviation for integrity error source model can be based on the value range of </w:t>
      </w:r>
      <w:r>
        <w:rPr>
          <w:rFonts w:ascii="Times New Roman" w:hAnsi="Times New Roman"/>
          <w:i/>
          <w:sz w:val="20"/>
          <w:szCs w:val="24"/>
        </w:rPr>
        <w:t>NR-DL-PRS-ExpectedAoD-or-AoA</w:t>
      </w:r>
      <w:r>
        <w:rPr>
          <w:rFonts w:ascii="Times New Roman" w:hAnsi="Times New Roman"/>
          <w:sz w:val="20"/>
          <w:szCs w:val="24"/>
        </w:rPr>
        <w:t>.</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NR-DL-PRS-ExpectedAoD-or-AoA-r17 ::= CHOICE {</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expectedAoD-r17</w:t>
      </w:r>
      <w:r>
        <w:rPr>
          <w:snapToGrid w:val="0"/>
        </w:rPr>
        <w:tab/>
      </w:r>
      <w:r>
        <w:rPr>
          <w:snapToGrid w:val="0"/>
        </w:rPr>
        <w:tab/>
      </w:r>
      <w:r>
        <w:rPr>
          <w:snapToGrid w:val="0"/>
        </w:rPr>
        <w:tab/>
      </w:r>
      <w:r>
        <w:rPr>
          <w:snapToGrid w:val="0"/>
        </w:rPr>
        <w:t>SEQUENCE {</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expectedDL-AzimuthAoD-r17</w:t>
      </w:r>
      <w:r>
        <w:rPr>
          <w:snapToGrid w:val="0"/>
        </w:rPr>
        <w:tab/>
      </w:r>
      <w:r>
        <w:rPr>
          <w:snapToGrid w:val="0"/>
        </w:rPr>
        <w:tab/>
      </w:r>
      <w:r>
        <w:rPr>
          <w:snapToGrid w:val="0"/>
        </w:rPr>
        <w:t>INTEGER (0..359),</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expectedDL-AzimuthAoD-Unc-r17</w:t>
      </w:r>
      <w:r>
        <w:rPr>
          <w:snapToGrid w:val="0"/>
        </w:rPr>
        <w:tab/>
      </w:r>
      <w:r>
        <w:rPr>
          <w:snapToGrid w:val="0"/>
        </w:rPr>
        <w:t>INTEGER (0..60)</w:t>
      </w:r>
      <w:r>
        <w:rPr>
          <w:snapToGrid w:val="0"/>
        </w:rPr>
        <w:tab/>
      </w:r>
      <w:r>
        <w:rPr>
          <w:snapToGrid w:val="0"/>
        </w:rPr>
        <w:t>OPTIONAL, -- Need OP</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exp</w:t>
      </w:r>
      <w:r>
        <w:rPr>
          <w:snapToGrid w:val="0"/>
          <w:highlight w:val="none"/>
        </w:rPr>
        <w:t>ectedDL-ZenithAoD-r17</w:t>
      </w:r>
      <w:r>
        <w:rPr>
          <w:snapToGrid w:val="0"/>
          <w:highlight w:val="none"/>
        </w:rPr>
        <w:tab/>
      </w:r>
      <w:r>
        <w:rPr>
          <w:snapToGrid w:val="0"/>
          <w:highlight w:val="none"/>
        </w:rPr>
        <w:tab/>
      </w:r>
      <w:r>
        <w:rPr>
          <w:snapToGrid w:val="0"/>
          <w:highlight w:val="none"/>
        </w:rPr>
        <w:t>INTEGER (0..180),</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expectedDL-ZenithAoD-Unc-r17</w:t>
      </w:r>
      <w:r>
        <w:rPr>
          <w:snapToGrid w:val="0"/>
        </w:rPr>
        <w:tab/>
      </w:r>
      <w:r>
        <w:rPr>
          <w:snapToGrid w:val="0"/>
        </w:rPr>
        <w:t>INTEGER</w:t>
      </w:r>
      <w:r>
        <w:rPr>
          <w:snapToGrid w:val="0"/>
        </w:rPr>
        <w:tab/>
      </w:r>
      <w:r>
        <w:rPr>
          <w:snapToGrid w:val="0"/>
        </w:rPr>
        <w:t>(0..30)</w:t>
      </w:r>
      <w:r>
        <w:rPr>
          <w:snapToGrid w:val="0"/>
        </w:rPr>
        <w:tab/>
      </w:r>
      <w:r>
        <w:rPr>
          <w:snapToGrid w:val="0"/>
        </w:rPr>
        <w:t>OPTIONAL  -- Need OP</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expectedAoA-r17</w:t>
      </w:r>
      <w:r>
        <w:rPr>
          <w:snapToGrid w:val="0"/>
        </w:rPr>
        <w:tab/>
      </w:r>
      <w:r>
        <w:rPr>
          <w:snapToGrid w:val="0"/>
        </w:rPr>
        <w:tab/>
      </w:r>
      <w:r>
        <w:rPr>
          <w:snapToGrid w:val="0"/>
        </w:rPr>
        <w:tab/>
      </w:r>
      <w:r>
        <w:rPr>
          <w:snapToGrid w:val="0"/>
        </w:rPr>
        <w:t>SEQUENCE {</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expectedDL-AzimuthAoA-r17</w:t>
      </w:r>
      <w:r>
        <w:rPr>
          <w:snapToGrid w:val="0"/>
        </w:rPr>
        <w:tab/>
      </w:r>
      <w:r>
        <w:rPr>
          <w:snapToGrid w:val="0"/>
        </w:rPr>
        <w:tab/>
      </w:r>
      <w:r>
        <w:rPr>
          <w:snapToGrid w:val="0"/>
        </w:rPr>
        <w:t>INTEGER (0..359),</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expectedDL-AzimuthAoA-Unc-r17</w:t>
      </w:r>
      <w:r>
        <w:rPr>
          <w:snapToGrid w:val="0"/>
        </w:rPr>
        <w:tab/>
      </w:r>
      <w:r>
        <w:rPr>
          <w:snapToGrid w:val="0"/>
        </w:rPr>
        <w:t>INTEGER (0..60)</w:t>
      </w:r>
      <w:r>
        <w:rPr>
          <w:snapToGrid w:val="0"/>
        </w:rPr>
        <w:tab/>
      </w:r>
      <w:r>
        <w:rPr>
          <w:snapToGrid w:val="0"/>
        </w:rPr>
        <w:t>OPTIONAL, -- Need OP</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expectedDL-ZenithAoA-r17</w:t>
      </w:r>
      <w:r>
        <w:rPr>
          <w:snapToGrid w:val="0"/>
        </w:rPr>
        <w:tab/>
      </w:r>
      <w:r>
        <w:rPr>
          <w:snapToGrid w:val="0"/>
        </w:rPr>
        <w:tab/>
      </w:r>
      <w:r>
        <w:rPr>
          <w:snapToGrid w:val="0"/>
        </w:rPr>
        <w:t>INTEGER (0..180),</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expectedDL-ZenithAoA-Unc-r17</w:t>
      </w:r>
      <w:r>
        <w:rPr>
          <w:snapToGrid w:val="0"/>
        </w:rPr>
        <w:tab/>
      </w:r>
      <w:r>
        <w:rPr>
          <w:snapToGrid w:val="0"/>
        </w:rPr>
        <w:t>INTEGER</w:t>
      </w:r>
      <w:r>
        <w:rPr>
          <w:snapToGrid w:val="0"/>
        </w:rPr>
        <w:tab/>
      </w:r>
      <w:r>
        <w:rPr>
          <w:snapToGrid w:val="0"/>
        </w:rPr>
        <w:t>(0..30)</w:t>
      </w:r>
      <w:r>
        <w:rPr>
          <w:snapToGrid w:val="0"/>
        </w:rPr>
        <w:tab/>
      </w:r>
      <w:r>
        <w:rPr>
          <w:snapToGrid w:val="0"/>
        </w:rPr>
        <w:t>OPTIONAL  -- Need OP</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w:t>
      </w:r>
    </w:p>
    <w:p>
      <w:pPr>
        <w:topLinePunct/>
        <w:autoSpaceDE w:val="0"/>
        <w:autoSpaceDN w:val="0"/>
        <w:adjustRightInd w:val="0"/>
        <w:snapToGrid w:val="0"/>
        <w:spacing w:before="180" w:beforeLines="50" w:after="180" w:afterLines="50" w:line="240" w:lineRule="auto"/>
        <w:jc w:val="both"/>
        <w:rPr>
          <w:rFonts w:ascii="Times New Roman" w:hAnsi="Times New Roman"/>
          <w:i/>
          <w:sz w:val="20"/>
          <w:szCs w:val="24"/>
        </w:rPr>
      </w:pPr>
    </w:p>
    <w:p>
      <w:pPr>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Proposal 5: For angle related error sources, the candidate values of mean and standard deviation can be based on the range of</w:t>
      </w:r>
      <w:r>
        <w:rPr>
          <w:rFonts w:ascii="Times New Roman" w:hAnsi="Times New Roman"/>
          <w:b/>
          <w:sz w:val="20"/>
          <w:szCs w:val="24"/>
        </w:rPr>
        <w:t xml:space="preserve"> </w:t>
      </w:r>
      <w:r>
        <w:rPr>
          <w:rFonts w:ascii="Times New Roman" w:hAnsi="Times New Roman"/>
          <w:b/>
          <w:i/>
          <w:sz w:val="20"/>
          <w:szCs w:val="24"/>
        </w:rPr>
        <w:t>NR-DL-PRS-ExpectedAoD-or-AoA.</w:t>
      </w:r>
    </w:p>
    <w:p>
      <w:pPr>
        <w:topLinePunct/>
        <w:autoSpaceDE w:val="0"/>
        <w:autoSpaceDN w:val="0"/>
        <w:adjustRightInd w:val="0"/>
        <w:snapToGrid w:val="0"/>
        <w:spacing w:before="180" w:beforeLines="50" w:after="180" w:afterLines="50" w:line="240" w:lineRule="auto"/>
        <w:jc w:val="both"/>
        <w:rPr>
          <w:rFonts w:ascii="Times New Roman" w:hAnsi="Times New Roman"/>
          <w:b/>
          <w:i/>
          <w:sz w:val="20"/>
          <w:szCs w:val="24"/>
        </w:rPr>
      </w:pPr>
    </w:p>
    <w:p>
      <w:pPr>
        <w:pStyle w:val="4"/>
        <w:topLinePunct/>
        <w:adjustRightInd w:val="0"/>
        <w:snapToGrid w:val="0"/>
        <w:spacing w:before="180" w:beforeLines="50" w:after="180" w:afterLines="50" w:line="240" w:lineRule="auto"/>
        <w:jc w:val="both"/>
        <w:rPr>
          <w:rFonts w:ascii="Times New Roman" w:hAnsi="Times New Roman"/>
          <w:b/>
        </w:rPr>
      </w:pPr>
      <w:r>
        <w:rPr>
          <w:rFonts w:ascii="Times New Roman" w:hAnsi="Times New Roman"/>
          <w:b/>
        </w:rPr>
        <w:t>2.1.3 Error source model for beam information</w:t>
      </w:r>
    </w:p>
    <w:p>
      <w:pPr>
        <w:autoSpaceDE w:val="0"/>
        <w:autoSpaceDN w:val="0"/>
        <w:adjustRightInd w:val="0"/>
        <w:snapToGrid w:val="0"/>
        <w:spacing w:before="180" w:beforeLines="50" w:after="180" w:afterLines="50" w:line="240" w:lineRule="auto"/>
        <w:jc w:val="both"/>
        <w:rPr>
          <w:szCs w:val="24"/>
        </w:rPr>
      </w:pPr>
      <w:r>
        <w:rPr>
          <w:rFonts w:ascii="Times New Roman" w:hAnsi="Times New Roman"/>
          <w:sz w:val="20"/>
          <w:szCs w:val="24"/>
        </w:rPr>
        <w:t xml:space="preserve">In last RAN1#110 meeting, </w:t>
      </w:r>
      <w:r>
        <w:rPr>
          <w:rFonts w:ascii="Times New Roman" w:hAnsi="Times New Roman"/>
          <w:sz w:val="20"/>
          <w:szCs w:val="24"/>
          <w:lang w:val="en-CA"/>
        </w:rPr>
        <w:t xml:space="preserve">beam information of DL-PRS (e.g., </w:t>
      </w:r>
      <w:r>
        <w:rPr>
          <w:rFonts w:ascii="Times New Roman" w:hAnsi="Times New Roman"/>
          <w:i/>
          <w:sz w:val="20"/>
          <w:szCs w:val="24"/>
          <w:lang w:val="en-CA"/>
        </w:rPr>
        <w:t>NR-TRP-BeamAntennaInfo</w:t>
      </w:r>
      <w:r>
        <w:rPr>
          <w:rFonts w:ascii="Times New Roman" w:hAnsi="Times New Roman"/>
          <w:sz w:val="20"/>
          <w:szCs w:val="24"/>
          <w:lang w:val="en-CA"/>
        </w:rPr>
        <w:t xml:space="preserve"> in TS 37.355)</w:t>
      </w:r>
      <w:r>
        <w:rPr>
          <w:rFonts w:ascii="Times New Roman" w:hAnsi="Times New Roman"/>
          <w:sz w:val="20"/>
          <w:szCs w:val="24"/>
        </w:rPr>
        <w:t xml:space="preserve"> was proposed to be an independent error source.</w:t>
      </w:r>
    </w:p>
    <w:p>
      <w:pPr>
        <w:topLinePunct/>
        <w:autoSpaceDE w:val="0"/>
        <w:autoSpaceDN w:val="0"/>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 xml:space="preserve">However, from the perspective of beam sending, the minimum granularity is 0.1 degree in the IE </w:t>
      </w:r>
      <w:r>
        <w:rPr>
          <w:rFonts w:ascii="Times New Roman" w:hAnsi="Times New Roman"/>
          <w:i/>
          <w:sz w:val="20"/>
          <w:szCs w:val="24"/>
        </w:rPr>
        <w:t>NR-TRP-BeamAntennaInfo</w:t>
      </w:r>
      <w:r>
        <w:rPr>
          <w:rFonts w:ascii="Times New Roman" w:hAnsi="Times New Roman"/>
          <w:sz w:val="20"/>
          <w:szCs w:val="24"/>
        </w:rPr>
        <w:t>, which is fine enough to identify the beam in the current application scenarios.</w:t>
      </w:r>
    </w:p>
    <w:p>
      <w:pPr>
        <w:topLinePunct/>
        <w:autoSpaceDE w:val="0"/>
        <w:autoSpaceDN w:val="0"/>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When the receiver receives the beam configuration of DL-PRS, the problem about how to determine the beam and how to obtain the actual measurement angle are implementation issues. Therefore, the measurement errors on the receiving side should not be attributed to the errors caused by the assistance data. From gNB or LMF side, it is unclear why and how to model this error in assistance data.</w:t>
      </w:r>
    </w:p>
    <w:p>
      <w:pPr>
        <w:topLinePunct/>
        <w:autoSpaceDE w:val="0"/>
        <w:autoSpaceDN w:val="0"/>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 xml:space="preserve">In addition, considering the complexity of the actual channel, even if the sending beam is completely pointing to the target device in LoS links (that is, there is no error caused by granularity in the beam assistance data </w:t>
      </w:r>
      <w:r>
        <w:rPr>
          <w:rFonts w:ascii="Times New Roman" w:hAnsi="Times New Roman"/>
          <w:i/>
          <w:sz w:val="20"/>
          <w:szCs w:val="24"/>
        </w:rPr>
        <w:t>IE NR-TRP-BeamAntennaInfo</w:t>
      </w:r>
      <w:r>
        <w:rPr>
          <w:rFonts w:ascii="Times New Roman" w:hAnsi="Times New Roman"/>
          <w:sz w:val="20"/>
          <w:szCs w:val="24"/>
        </w:rPr>
        <w:t xml:space="preserve"> and</w:t>
      </w:r>
      <w:r>
        <w:rPr>
          <w:rFonts w:ascii="Times New Roman" w:hAnsi="Times New Roman"/>
          <w:i/>
          <w:sz w:val="20"/>
          <w:szCs w:val="24"/>
        </w:rPr>
        <w:t xml:space="preserve"> </w:t>
      </w:r>
      <w:r>
        <w:rPr>
          <w:rFonts w:ascii="Times New Roman" w:hAnsi="Times New Roman"/>
          <w:i/>
          <w:sz w:val="20"/>
          <w:szCs w:val="24"/>
          <w:lang w:val="en-CA"/>
        </w:rPr>
        <w:t>NR-DL-PRS-BeamInfo</w:t>
      </w:r>
      <w:r>
        <w:rPr>
          <w:rFonts w:ascii="Times New Roman" w:hAnsi="Times New Roman"/>
          <w:sz w:val="20"/>
          <w:szCs w:val="24"/>
        </w:rPr>
        <w:t>), errors will still occur on the receiving side, so the actual errors should be related to the AOA, AOD and other angle error sources that most companies have agreed upon.</w:t>
      </w:r>
    </w:p>
    <w:p>
      <w:pPr>
        <w:topLinePunct/>
        <w:autoSpaceDE w:val="0"/>
        <w:autoSpaceDN w:val="0"/>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In summary, we think it is an over design to consider the assistance data with the beam information and boresight direction as an independent error source. It is unclear how to get the model parameters for UE, gNB and even LMF. It is also unclear how those error can be reflected in the final integrity computation.</w:t>
      </w:r>
    </w:p>
    <w:p>
      <w:pPr>
        <w:topLinePunct/>
        <w:autoSpaceDE w:val="0"/>
        <w:autoSpaceDN w:val="0"/>
        <w:adjustRightInd w:val="0"/>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Proposal 6</w:t>
      </w:r>
      <w:r>
        <w:rPr>
          <w:rFonts w:hint="eastAsia" w:ascii="Times New Roman" w:hAnsi="Times New Roman"/>
          <w:b/>
          <w:i/>
          <w:sz w:val="20"/>
          <w:szCs w:val="24"/>
        </w:rPr>
        <w:t>：</w:t>
      </w:r>
      <w:r>
        <w:rPr>
          <w:rFonts w:ascii="Times New Roman" w:hAnsi="Times New Roman"/>
          <w:b/>
          <w:i/>
          <w:sz w:val="20"/>
          <w:szCs w:val="24"/>
        </w:rPr>
        <w:t xml:space="preserve">The </w:t>
      </w:r>
      <w:r>
        <w:rPr>
          <w:rFonts w:ascii="Times New Roman" w:hAnsi="Times New Roman"/>
          <w:b/>
          <w:i/>
          <w:sz w:val="20"/>
          <w:szCs w:val="24"/>
          <w:lang w:val="en-CA"/>
        </w:rPr>
        <w:t>boresight direction of DL-PRS (e.g., NR-DL-PRS-BeamInfo in TS 37.355)</w:t>
      </w:r>
      <w:r>
        <w:rPr>
          <w:rFonts w:ascii="Times New Roman" w:hAnsi="Times New Roman"/>
          <w:b/>
          <w:i/>
          <w:sz w:val="20"/>
          <w:szCs w:val="24"/>
        </w:rPr>
        <w:t xml:space="preserve"> and the </w:t>
      </w:r>
      <w:r>
        <w:rPr>
          <w:rFonts w:ascii="Times New Roman" w:hAnsi="Times New Roman"/>
          <w:b/>
          <w:i/>
          <w:sz w:val="20"/>
          <w:szCs w:val="24"/>
          <w:lang w:val="en-CA"/>
        </w:rPr>
        <w:t>beam information of DL-PRS (e.g., NR-TRP-BeamAntennaInfo in TS 37.355)</w:t>
      </w:r>
      <w:r>
        <w:rPr>
          <w:rFonts w:ascii="Times New Roman" w:hAnsi="Times New Roman"/>
          <w:b/>
          <w:i/>
          <w:sz w:val="20"/>
          <w:szCs w:val="24"/>
        </w:rPr>
        <w:t xml:space="preserve"> should not be considered as error sources.</w:t>
      </w:r>
    </w:p>
    <w:p>
      <w:pPr>
        <w:topLinePunct/>
        <w:autoSpaceDE w:val="0"/>
        <w:autoSpaceDN w:val="0"/>
        <w:adjustRightInd w:val="0"/>
        <w:snapToGrid w:val="0"/>
        <w:spacing w:before="180" w:beforeLines="50" w:after="180" w:afterLines="50" w:line="240" w:lineRule="auto"/>
        <w:jc w:val="both"/>
        <w:rPr>
          <w:rFonts w:ascii="Times New Roman" w:hAnsi="Times New Roman"/>
          <w:sz w:val="20"/>
          <w:szCs w:val="24"/>
        </w:rPr>
      </w:pPr>
    </w:p>
    <w:p>
      <w:pPr>
        <w:pStyle w:val="4"/>
        <w:adjustRightInd w:val="0"/>
        <w:snapToGrid w:val="0"/>
        <w:spacing w:before="180" w:beforeLines="50" w:after="180" w:afterLines="50" w:line="240" w:lineRule="auto"/>
        <w:jc w:val="both"/>
      </w:pPr>
      <w:r>
        <w:rPr>
          <w:rFonts w:ascii="Times New Roman" w:hAnsi="Times New Roman"/>
          <w:b/>
        </w:rPr>
        <w:t>2.1.4 Error source model for TEG errors</w:t>
      </w:r>
    </w:p>
    <w:p>
      <w:pPr>
        <w:topLinePunct/>
        <w:autoSpaceDE w:val="0"/>
        <w:autoSpaceDN w:val="0"/>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As to considering whether TEG related timing error could be an error source.</w:t>
      </w:r>
    </w:p>
    <w:p>
      <w:pPr>
        <w:topLinePunct/>
        <w:autoSpaceDE w:val="0"/>
        <w:autoSpaceDN w:val="0"/>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Firstly, TEG is a set of grouping different timing errors. It is similar to the essence of a single timing error. Since the timing error has been considered as the error source of the integrity, there is no need to additionally add TEG as the error source.</w:t>
      </w:r>
    </w:p>
    <w:p>
      <w:pPr>
        <w:topLinePunct/>
        <w:autoSpaceDE w:val="0"/>
        <w:autoSpaceDN w:val="0"/>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 xml:space="preserve">Besides, TEG margin is the upper bound of the range of timing error difference. RAN4 has provided a list of different margins and the TEG margin is one of the margins list, and there is no need to further specify the uncertainty of TEG margin for integrity. </w:t>
      </w:r>
    </w:p>
    <w:p>
      <w:pPr>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Proposal 7</w:t>
      </w:r>
      <w:r>
        <w:rPr>
          <w:rFonts w:hint="eastAsia" w:ascii="Times New Roman" w:hAnsi="Times New Roman"/>
          <w:b/>
          <w:i/>
          <w:sz w:val="20"/>
          <w:szCs w:val="24"/>
        </w:rPr>
        <w:t>：</w:t>
      </w:r>
      <w:r>
        <w:rPr>
          <w:rFonts w:ascii="Times New Roman" w:hAnsi="Times New Roman"/>
          <w:b/>
          <w:i/>
          <w:sz w:val="20"/>
          <w:szCs w:val="24"/>
        </w:rPr>
        <w:t>TEG related timing error</w:t>
      </w:r>
      <w:r>
        <w:rPr>
          <w:rFonts w:ascii="Times New Roman" w:hAnsi="Times New Roman"/>
          <w:sz w:val="20"/>
          <w:szCs w:val="24"/>
        </w:rPr>
        <w:t xml:space="preserve"> </w:t>
      </w:r>
      <w:r>
        <w:rPr>
          <w:rFonts w:ascii="Times New Roman" w:hAnsi="Times New Roman"/>
          <w:b/>
          <w:i/>
          <w:sz w:val="20"/>
          <w:szCs w:val="24"/>
        </w:rPr>
        <w:t xml:space="preserve">should not be considered as an independent error source. </w:t>
      </w:r>
    </w:p>
    <w:p>
      <w:pPr>
        <w:topLinePunct/>
        <w:autoSpaceDE w:val="0"/>
        <w:autoSpaceDN w:val="0"/>
        <w:adjustRightInd w:val="0"/>
        <w:snapToGrid w:val="0"/>
        <w:spacing w:before="180" w:beforeLines="50" w:after="180" w:afterLines="50" w:line="240" w:lineRule="auto"/>
        <w:jc w:val="both"/>
        <w:rPr>
          <w:rFonts w:ascii="Times New Roman" w:hAnsi="Times New Roman"/>
          <w:color w:val="0000FF"/>
          <w:sz w:val="20"/>
          <w:szCs w:val="24"/>
        </w:rPr>
      </w:pPr>
    </w:p>
    <w:p>
      <w:pPr>
        <w:pStyle w:val="4"/>
        <w:topLinePunct/>
        <w:adjustRightInd w:val="0"/>
        <w:snapToGrid w:val="0"/>
        <w:spacing w:before="180" w:beforeLines="50" w:after="180" w:afterLines="50" w:line="240" w:lineRule="auto"/>
        <w:jc w:val="both"/>
        <w:rPr>
          <w:rFonts w:ascii="Times New Roman" w:hAnsi="Times New Roman"/>
          <w:b/>
        </w:rPr>
      </w:pPr>
      <w:r>
        <w:rPr>
          <w:rFonts w:ascii="Times New Roman" w:hAnsi="Times New Roman"/>
          <w:b/>
        </w:rPr>
        <w:t>2.1.5 Error source model for TRP/ARP location</w:t>
      </w:r>
    </w:p>
    <w:p>
      <w:pPr>
        <w:autoSpaceDE w:val="0"/>
        <w:autoSpaceDN w:val="0"/>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In the last meeting, TRP/ARP location has been identified as error sources for DL-TDOA/DL-AOD and UL-AOA respectively.</w:t>
      </w:r>
    </w:p>
    <w:p>
      <w:pPr>
        <w:autoSpaceDE w:val="0"/>
        <w:autoSpaceDN w:val="0"/>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 xml:space="preserve">Since TRP/ARP location indicates the coordinates of the transmission/antenna reference points for a set of TRPs, we can assume that the TRP/ARP location measurement should be modeled as Gaussian distribution or truncated Gaussian distribution. </w:t>
      </w:r>
    </w:p>
    <w:p>
      <w:pPr>
        <w:autoSpaceDE w:val="0"/>
        <w:autoSpaceDN w:val="0"/>
        <w:adjustRightInd w:val="0"/>
        <w:snapToGrid w:val="0"/>
        <w:spacing w:before="180" w:beforeLines="50" w:after="180" w:afterLines="50" w:line="240" w:lineRule="auto"/>
        <w:jc w:val="both"/>
        <w:rPr>
          <w:rFonts w:ascii="Times New Roman" w:hAnsi="Times New Roman"/>
          <w:i/>
          <w:sz w:val="20"/>
          <w:szCs w:val="24"/>
        </w:rPr>
      </w:pPr>
      <w:r>
        <w:rPr>
          <w:rFonts w:ascii="Times New Roman" w:hAnsi="Times New Roman"/>
          <w:sz w:val="20"/>
          <w:szCs w:val="24"/>
        </w:rPr>
        <w:t xml:space="preserve">For TRP/ARP location measurement, the IE </w:t>
      </w:r>
      <w:r>
        <w:rPr>
          <w:rFonts w:ascii="Times New Roman" w:hAnsi="Times New Roman"/>
          <w:i/>
          <w:sz w:val="20"/>
          <w:szCs w:val="24"/>
        </w:rPr>
        <w:t>LocationUncertainty</w:t>
      </w:r>
      <w:r>
        <w:rPr>
          <w:rFonts w:ascii="Times New Roman" w:hAnsi="Times New Roman"/>
          <w:sz w:val="20"/>
          <w:szCs w:val="24"/>
        </w:rPr>
        <w:t xml:space="preserve"> describes the uncertainty of the location coordinates. Therefore, the mean value of TRP/ARP can be set as zero while the standard deviation can be based on the range of </w:t>
      </w:r>
      <w:r>
        <w:rPr>
          <w:rFonts w:ascii="Times New Roman" w:hAnsi="Times New Roman"/>
          <w:i/>
          <w:sz w:val="20"/>
          <w:szCs w:val="24"/>
        </w:rPr>
        <w:t>LocationUncertainty.</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LocationUncertainty-r16 ::= SEQUENCE {</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ab/>
      </w:r>
      <w:r>
        <w:rPr>
          <w:rFonts w:ascii="Times New Roman" w:hAnsi="Times New Roman"/>
          <w:sz w:val="20"/>
        </w:rPr>
        <w:t>horizontalUncertainty-r16</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INTEGER (0..255),</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ab/>
      </w:r>
      <w:r>
        <w:rPr>
          <w:rFonts w:ascii="Times New Roman" w:hAnsi="Times New Roman"/>
          <w:sz w:val="20"/>
        </w:rPr>
        <w:t>horizontalConfidence-r16</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INTEGER (0..100),</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ab/>
      </w:r>
      <w:r>
        <w:rPr>
          <w:rFonts w:ascii="Times New Roman" w:hAnsi="Times New Roman"/>
          <w:sz w:val="20"/>
        </w:rPr>
        <w:t>verticalUncertainty-r16</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INTEGER (0..255),</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ab/>
      </w:r>
      <w:r>
        <w:rPr>
          <w:rFonts w:ascii="Times New Roman" w:hAnsi="Times New Roman"/>
          <w:sz w:val="20"/>
        </w:rPr>
        <w:t>verticalConfidence-r16</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INTEGER (0..100)</w:t>
      </w:r>
    </w:p>
    <w:p>
      <w:pPr>
        <w:pStyle w:val="84"/>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ascii="Times New Roman" w:hAnsi="Times New Roman"/>
          <w:sz w:val="20"/>
        </w:rPr>
      </w:pPr>
      <w:r>
        <w:rPr>
          <w:rFonts w:ascii="Times New Roman" w:hAnsi="Times New Roman"/>
          <w:sz w:val="20"/>
        </w:rPr>
        <w:t>}</w:t>
      </w:r>
    </w:p>
    <w:tbl>
      <w:tblPr>
        <w:tblStyle w:val="23"/>
        <w:tblW w:w="9639"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1887" w:hRule="atLeast"/>
          <w:tblHeader/>
        </w:trPr>
        <w:tc>
          <w:tcPr>
            <w:tcW w:w="9639" w:type="dxa"/>
          </w:tcPr>
          <w:p>
            <w:pPr>
              <w:keepNext/>
              <w:keepLines/>
              <w:snapToGrid w:val="0"/>
              <w:spacing w:after="0"/>
              <w:rPr>
                <w:rFonts w:ascii="Times New Roman" w:hAnsi="Times New Roman"/>
                <w:b/>
                <w:i/>
                <w:sz w:val="20"/>
                <w:szCs w:val="24"/>
              </w:rPr>
            </w:pPr>
            <w:r>
              <w:rPr>
                <w:rFonts w:ascii="Times New Roman" w:hAnsi="Times New Roman"/>
                <w:b/>
                <w:i/>
                <w:sz w:val="20"/>
                <w:szCs w:val="24"/>
              </w:rPr>
              <w:t>locationUNC</w:t>
            </w:r>
          </w:p>
          <w:p>
            <w:pPr>
              <w:keepNext/>
              <w:keepLines/>
              <w:snapToGrid w:val="0"/>
              <w:spacing w:after="0"/>
              <w:rPr>
                <w:rFonts w:ascii="Times New Roman" w:hAnsi="Times New Roman"/>
                <w:sz w:val="20"/>
                <w:szCs w:val="24"/>
              </w:rPr>
            </w:pPr>
            <w:r>
              <w:rPr>
                <w:rFonts w:ascii="Times New Roman" w:hAnsi="Times New Roman"/>
                <w:sz w:val="20"/>
                <w:szCs w:val="24"/>
              </w:rPr>
              <w:t>This field specifies the uncertainty of the location coordinates and comprises the following sub-fields:</w:t>
            </w:r>
          </w:p>
          <w:p>
            <w:pPr>
              <w:pStyle w:val="80"/>
              <w:snapToGrid w:val="0"/>
              <w:spacing w:after="0"/>
              <w:rPr>
                <w:rFonts w:ascii="Times New Roman" w:hAnsi="Times New Roman"/>
                <w:sz w:val="20"/>
              </w:rPr>
            </w:pPr>
            <w:r>
              <w:rPr>
                <w:rFonts w:ascii="Times New Roman" w:hAnsi="Times New Roman"/>
                <w:sz w:val="20"/>
              </w:rPr>
              <w:t>-</w:t>
            </w:r>
            <w:r>
              <w:rPr>
                <w:rFonts w:ascii="Times New Roman" w:hAnsi="Times New Roman"/>
                <w:snapToGrid w:val="0"/>
                <w:sz w:val="20"/>
              </w:rPr>
              <w:tab/>
            </w:r>
            <w:r>
              <w:rPr>
                <w:rFonts w:ascii="Times New Roman" w:hAnsi="Times New Roman"/>
                <w:b/>
                <w:i/>
                <w:snapToGrid w:val="0"/>
                <w:sz w:val="20"/>
              </w:rPr>
              <w:t>horizontalUncertainty</w:t>
            </w:r>
            <w:r>
              <w:rPr>
                <w:rFonts w:ascii="Times New Roman" w:hAnsi="Times New Roman"/>
                <w:snapToGrid w:val="0"/>
                <w:sz w:val="20"/>
              </w:rPr>
              <w:t xml:space="preserve"> indicates the horizontal uncertainty of the ARP latitude/longitude. </w:t>
            </w:r>
            <w:r>
              <w:rPr>
                <w:rFonts w:ascii="Times New Roman" w:hAnsi="Times New Roman"/>
                <w:sz w:val="20"/>
              </w:rPr>
              <w:t>The ′</w:t>
            </w:r>
            <w:r>
              <w:rPr>
                <w:rFonts w:ascii="Times New Roman" w:hAnsi="Times New Roman"/>
                <w:i/>
                <w:sz w:val="20"/>
              </w:rPr>
              <w:t>horizontalUncertainty</w:t>
            </w:r>
            <w:r>
              <w:rPr>
                <w:rFonts w:ascii="Times New Roman" w:hAnsi="Times New Roman"/>
                <w:sz w:val="20"/>
              </w:rPr>
              <w:t>′ corresponds to the encoded high accuracy uncertainty as defined in TS 23.032 [15] and ′</w:t>
            </w:r>
            <w:r>
              <w:rPr>
                <w:rFonts w:ascii="Times New Roman" w:hAnsi="Times New Roman"/>
                <w:i/>
                <w:sz w:val="20"/>
              </w:rPr>
              <w:t>horizontalConfidence</w:t>
            </w:r>
            <w:r>
              <w:rPr>
                <w:rFonts w:ascii="Times New Roman" w:hAnsi="Times New Roman"/>
                <w:sz w:val="20"/>
              </w:rPr>
              <w:t>′ corresponds to confidence as defined in TS 23.032 [15].</w:t>
            </w:r>
          </w:p>
          <w:p>
            <w:pPr>
              <w:pStyle w:val="80"/>
              <w:snapToGrid w:val="0"/>
              <w:spacing w:after="0"/>
              <w:rPr>
                <w:rFonts w:ascii="Times New Roman" w:hAnsi="Times New Roman"/>
                <w:sz w:val="20"/>
              </w:rPr>
            </w:pPr>
            <w:r>
              <w:rPr>
                <w:rFonts w:ascii="Times New Roman" w:hAnsi="Times New Roman"/>
                <w:snapToGrid w:val="0"/>
                <w:sz w:val="20"/>
              </w:rPr>
              <w:t>-</w:t>
            </w:r>
            <w:r>
              <w:rPr>
                <w:rFonts w:ascii="Times New Roman" w:hAnsi="Times New Roman"/>
                <w:snapToGrid w:val="0"/>
                <w:sz w:val="20"/>
              </w:rPr>
              <w:tab/>
            </w:r>
            <w:r>
              <w:rPr>
                <w:rFonts w:ascii="Times New Roman" w:hAnsi="Times New Roman"/>
                <w:b/>
                <w:i/>
                <w:snapToGrid w:val="0"/>
                <w:sz w:val="20"/>
              </w:rPr>
              <w:t>verticalUncertainty</w:t>
            </w:r>
            <w:r>
              <w:rPr>
                <w:rFonts w:ascii="Times New Roman" w:hAnsi="Times New Roman"/>
                <w:snapToGrid w:val="0"/>
                <w:sz w:val="20"/>
              </w:rPr>
              <w:t xml:space="preserve"> indicates the vertical uncertainty of the ARP altitude. </w:t>
            </w:r>
            <w:r>
              <w:rPr>
                <w:rFonts w:ascii="Times New Roman" w:hAnsi="Times New Roman"/>
                <w:sz w:val="20"/>
              </w:rPr>
              <w:t>The '</w:t>
            </w:r>
            <w:r>
              <w:rPr>
                <w:rFonts w:ascii="Times New Roman" w:hAnsi="Times New Roman"/>
                <w:i/>
                <w:sz w:val="20"/>
              </w:rPr>
              <w:t>verticalUncertainty</w:t>
            </w:r>
            <w:r>
              <w:rPr>
                <w:rFonts w:ascii="Times New Roman" w:hAnsi="Times New Roman"/>
                <w:sz w:val="20"/>
              </w:rPr>
              <w:t>' corresponds to the encoded high accuracy uncertainty as defined in TS 23.032 [15] and '</w:t>
            </w:r>
            <w:r>
              <w:rPr>
                <w:rFonts w:ascii="Times New Roman" w:hAnsi="Times New Roman"/>
                <w:i/>
                <w:sz w:val="20"/>
              </w:rPr>
              <w:t>verticalConfidence</w:t>
            </w:r>
            <w:r>
              <w:rPr>
                <w:rFonts w:ascii="Times New Roman" w:hAnsi="Times New Roman"/>
                <w:sz w:val="20"/>
              </w:rPr>
              <w:t>' corresponds to confidence as defined in TS 23.032 [15].</w:t>
            </w:r>
          </w:p>
          <w:p>
            <w:pPr>
              <w:pStyle w:val="58"/>
              <w:snapToGrid w:val="0"/>
            </w:pPr>
            <w:r>
              <w:rPr>
                <w:rFonts w:ascii="Times New Roman" w:hAnsi="Times New Roman"/>
                <w:sz w:val="20"/>
              </w:rPr>
              <w:t>If this field is absent, the uncertainty is the same as for the associated reference point location.</w:t>
            </w:r>
          </w:p>
        </w:tc>
      </w:tr>
    </w:tbl>
    <w:p>
      <w:pPr>
        <w:autoSpaceDE w:val="0"/>
        <w:autoSpaceDN w:val="0"/>
        <w:adjustRightInd w:val="0"/>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 xml:space="preserve">Proposal 8: TRP/ARP location should be modeled as Gaussian distribution or truncated Gaussian distribution. </w:t>
      </w:r>
    </w:p>
    <w:p>
      <w:pPr>
        <w:numPr>
          <w:ilvl w:val="0"/>
          <w:numId w:val="7"/>
        </w:numPr>
        <w:autoSpaceDE w:val="0"/>
        <w:autoSpaceDN w:val="0"/>
        <w:adjustRightInd w:val="0"/>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The mean value of TRP/ARP can be set as zero while the standard deviation can be based on the range of Location uncertainty.</w:t>
      </w:r>
    </w:p>
    <w:p>
      <w:pPr>
        <w:autoSpaceDE w:val="0"/>
        <w:autoSpaceDN w:val="0"/>
        <w:adjustRightInd w:val="0"/>
        <w:snapToGrid w:val="0"/>
        <w:spacing w:before="180" w:beforeLines="50" w:after="180" w:afterLines="50" w:line="240" w:lineRule="auto"/>
        <w:jc w:val="both"/>
        <w:rPr>
          <w:rFonts w:ascii="Times New Roman" w:hAnsi="Times New Roman"/>
          <w:b/>
          <w:i/>
          <w:sz w:val="20"/>
          <w:szCs w:val="24"/>
        </w:rPr>
      </w:pPr>
    </w:p>
    <w:p>
      <w:pPr>
        <w:pStyle w:val="4"/>
        <w:topLinePunct/>
        <w:adjustRightInd w:val="0"/>
        <w:snapToGrid w:val="0"/>
        <w:spacing w:before="180" w:beforeLines="50" w:after="180" w:afterLines="50" w:line="240" w:lineRule="auto"/>
        <w:jc w:val="both"/>
        <w:rPr>
          <w:rFonts w:ascii="Times New Roman" w:hAnsi="Times New Roman"/>
          <w:b/>
        </w:rPr>
      </w:pPr>
      <w:r>
        <w:rPr>
          <w:rFonts w:ascii="Times New Roman" w:hAnsi="Times New Roman"/>
          <w:b/>
        </w:rPr>
        <w:t>2.1.6 Error source model for inter-TRP synchronization</w:t>
      </w:r>
    </w:p>
    <w:p>
      <w:pPr>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In the last meeting, inter-TRP synchronization has been identified as an error source for DL-TDOA/UL-TDOA.</w:t>
      </w:r>
    </w:p>
    <w:p>
      <w:pPr>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In the existing 37.355, the IE</w:t>
      </w:r>
      <w:r>
        <w:rPr>
          <w:rFonts w:ascii="Times New Roman" w:hAnsi="Times New Roman"/>
          <w:i/>
          <w:sz w:val="20"/>
          <w:szCs w:val="24"/>
        </w:rPr>
        <w:t xml:space="preserve"> NR-RTD-Info</w:t>
      </w:r>
      <w:r>
        <w:rPr>
          <w:rFonts w:ascii="Times New Roman" w:hAnsi="Times New Roman"/>
          <w:sz w:val="20"/>
          <w:szCs w:val="24"/>
        </w:rPr>
        <w:t xml:space="preserve"> is used by the location server to provide time synchronization information between a reference TRP and a list of neighbour TRPs.  </w:t>
      </w:r>
    </w:p>
    <w:p>
      <w:pPr>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 xml:space="preserve">For reference TRP, IE </w:t>
      </w:r>
      <w:r>
        <w:rPr>
          <w:rFonts w:ascii="Times New Roman" w:hAnsi="Times New Roman"/>
          <w:i/>
          <w:sz w:val="20"/>
          <w:szCs w:val="24"/>
        </w:rPr>
        <w:t xml:space="preserve">rtd-RefQuality </w:t>
      </w:r>
      <w:r>
        <w:rPr>
          <w:rFonts w:ascii="Times New Roman" w:hAnsi="Times New Roman"/>
          <w:sz w:val="20"/>
          <w:szCs w:val="24"/>
        </w:rPr>
        <w:t>represents the quality of the timing of the reference TRP, used to determine the RTD values. While for neighbouring TRPs, the IE</w:t>
      </w:r>
      <w:r>
        <w:rPr>
          <w:rFonts w:ascii="Times New Roman" w:hAnsi="Times New Roman"/>
          <w:i/>
          <w:sz w:val="20"/>
          <w:szCs w:val="24"/>
        </w:rPr>
        <w:t xml:space="preserve"> rtd-Quality</w:t>
      </w:r>
      <w:r>
        <w:rPr>
          <w:rFonts w:ascii="Times New Roman" w:hAnsi="Times New Roman"/>
          <w:sz w:val="20"/>
          <w:szCs w:val="24"/>
        </w:rPr>
        <w:t xml:space="preserve"> represents the quality of the RTD for neighbouring TRPs. Both IEs have relationship with </w:t>
      </w:r>
      <w:r>
        <w:rPr>
          <w:rFonts w:ascii="Times New Roman" w:hAnsi="Times New Roman"/>
          <w:i/>
          <w:sz w:val="20"/>
          <w:szCs w:val="24"/>
        </w:rPr>
        <w:t xml:space="preserve">NR-TimingQuality </w:t>
      </w:r>
      <w:r>
        <w:rPr>
          <w:rFonts w:ascii="Times New Roman" w:hAnsi="Times New Roman"/>
          <w:sz w:val="20"/>
          <w:szCs w:val="24"/>
        </w:rPr>
        <w:t>and apparently, they can both influence the synchronization between TRPs.</w:t>
      </w:r>
    </w:p>
    <w:p>
      <w:pPr>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 xml:space="preserve">Therefore, the mean value and standard deviation for inter-TRP synchronization have relationship with both </w:t>
      </w:r>
      <w:r>
        <w:rPr>
          <w:rFonts w:ascii="Times New Roman" w:hAnsi="Times New Roman"/>
          <w:i/>
          <w:sz w:val="20"/>
          <w:szCs w:val="24"/>
        </w:rPr>
        <w:t xml:space="preserve">rtd-RefQuality </w:t>
      </w:r>
      <w:r>
        <w:rPr>
          <w:rFonts w:ascii="Times New Roman" w:hAnsi="Times New Roman"/>
          <w:sz w:val="20"/>
          <w:szCs w:val="24"/>
        </w:rPr>
        <w:t>and</w:t>
      </w:r>
      <w:r>
        <w:rPr>
          <w:rFonts w:ascii="Times New Roman" w:hAnsi="Times New Roman"/>
          <w:i/>
          <w:sz w:val="20"/>
          <w:szCs w:val="24"/>
        </w:rPr>
        <w:t xml:space="preserve"> rtd-Quality. </w:t>
      </w:r>
    </w:p>
    <w:p>
      <w:pPr>
        <w:topLinePunct/>
        <w:adjustRightInd w:val="0"/>
        <w:snapToGrid w:val="0"/>
        <w:spacing w:before="180" w:beforeLines="50" w:after="180" w:afterLines="50" w:line="240" w:lineRule="auto"/>
        <w:jc w:val="both"/>
        <w:rPr>
          <w:rFonts w:hint="eastAsia" w:ascii="Times New Roman" w:hAnsi="Times New Roman" w:eastAsiaTheme="minorEastAsia"/>
          <w:b/>
          <w:i/>
          <w:sz w:val="20"/>
          <w:szCs w:val="24"/>
          <w:lang w:val="en-US" w:eastAsia="zh-CN"/>
        </w:rPr>
      </w:pPr>
      <w:r>
        <w:rPr>
          <w:rFonts w:ascii="Times New Roman" w:hAnsi="Times New Roman"/>
          <w:b/>
          <w:i/>
          <w:sz w:val="20"/>
          <w:szCs w:val="24"/>
        </w:rPr>
        <w:t xml:space="preserve">Proposal 9: </w:t>
      </w:r>
      <w:r>
        <w:rPr>
          <w:rFonts w:hint="eastAsia" w:ascii="Times New Roman" w:hAnsi="Times New Roman"/>
          <w:b/>
          <w:i/>
          <w:sz w:val="20"/>
          <w:szCs w:val="24"/>
          <w:lang w:val="en-US" w:eastAsia="zh-CN"/>
        </w:rPr>
        <w:t>I</w:t>
      </w:r>
      <w:r>
        <w:rPr>
          <w:rFonts w:ascii="Times New Roman" w:hAnsi="Times New Roman"/>
          <w:b/>
          <w:i/>
          <w:sz w:val="20"/>
          <w:szCs w:val="24"/>
        </w:rPr>
        <w:t>nter-TRP synchronization</w:t>
      </w:r>
      <w:r>
        <w:rPr>
          <w:rFonts w:hint="eastAsia" w:ascii="Times New Roman" w:hAnsi="Times New Roman"/>
          <w:b/>
          <w:i/>
          <w:sz w:val="20"/>
          <w:szCs w:val="24"/>
          <w:lang w:val="en-US" w:eastAsia="zh-CN"/>
        </w:rPr>
        <w:t xml:space="preserve"> error</w:t>
      </w:r>
      <w:r>
        <w:rPr>
          <w:rFonts w:ascii="Times New Roman" w:hAnsi="Times New Roman"/>
          <w:b/>
          <w:i/>
          <w:sz w:val="20"/>
          <w:szCs w:val="24"/>
        </w:rPr>
        <w:t xml:space="preserve"> should be modeled as Gaussian distribution or truncated Gaussian distribution</w:t>
      </w:r>
      <w:r>
        <w:rPr>
          <w:rFonts w:hint="eastAsia" w:ascii="Times New Roman" w:hAnsi="Times New Roman"/>
          <w:b/>
          <w:i/>
          <w:sz w:val="20"/>
          <w:szCs w:val="24"/>
          <w:lang w:val="en-US" w:eastAsia="zh-CN"/>
        </w:rPr>
        <w:t xml:space="preserve"> for integrity.</w:t>
      </w:r>
    </w:p>
    <w:p>
      <w:pPr>
        <w:numPr>
          <w:ilvl w:val="0"/>
          <w:numId w:val="8"/>
        </w:numPr>
        <w:topLinePunct/>
        <w:adjustRightInd w:val="0"/>
        <w:snapToGrid w:val="0"/>
        <w:spacing w:before="180" w:beforeLines="50" w:after="180" w:afterLines="50" w:line="240" w:lineRule="auto"/>
        <w:ind w:left="840" w:hanging="420"/>
        <w:jc w:val="both"/>
        <w:rPr>
          <w:rFonts w:ascii="Times New Roman" w:hAnsi="Times New Roman"/>
          <w:b/>
          <w:i/>
          <w:sz w:val="20"/>
          <w:szCs w:val="24"/>
        </w:rPr>
      </w:pPr>
      <w:r>
        <w:rPr>
          <w:rFonts w:ascii="Times New Roman" w:hAnsi="Times New Roman"/>
          <w:b/>
          <w:i/>
          <w:sz w:val="20"/>
          <w:szCs w:val="24"/>
        </w:rPr>
        <w:t>The mean value and standard deviation for inter-TRP synchronization</w:t>
      </w:r>
      <w:r>
        <w:rPr>
          <w:rFonts w:hint="eastAsia" w:ascii="Times New Roman" w:hAnsi="Times New Roman"/>
          <w:b/>
          <w:i/>
          <w:sz w:val="20"/>
          <w:szCs w:val="24"/>
          <w:lang w:val="en-US" w:eastAsia="zh-CN"/>
        </w:rPr>
        <w:t xml:space="preserve"> error model</w:t>
      </w:r>
      <w:r>
        <w:rPr>
          <w:rFonts w:ascii="Times New Roman" w:hAnsi="Times New Roman"/>
          <w:b/>
          <w:i/>
          <w:sz w:val="20"/>
          <w:szCs w:val="24"/>
        </w:rPr>
        <w:t xml:space="preserve"> can be based on the range of rtd-RefQuality and rtd-Quality. </w:t>
      </w:r>
    </w:p>
    <w:p>
      <w:pPr>
        <w:snapToGrid w:val="0"/>
        <w:spacing w:before="180" w:beforeLines="50" w:after="180" w:afterLines="50" w:line="240" w:lineRule="auto"/>
        <w:rPr>
          <w:rFonts w:ascii="Times New Roman" w:hAnsi="Times New Roman"/>
          <w:sz w:val="20"/>
          <w:szCs w:val="24"/>
        </w:rPr>
      </w:pPr>
    </w:p>
    <w:p>
      <w:pPr>
        <w:pStyle w:val="3"/>
        <w:topLinePunct/>
        <w:adjustRightInd w:val="0"/>
        <w:snapToGrid w:val="0"/>
        <w:spacing w:before="180" w:beforeLines="50" w:after="180" w:afterLines="50" w:line="240" w:lineRule="auto"/>
        <w:jc w:val="both"/>
        <w:rPr>
          <w:rFonts w:ascii="Arial" w:hAnsi="Arial"/>
          <w:b/>
          <w:sz w:val="24"/>
        </w:rPr>
      </w:pPr>
      <w:r>
        <w:rPr>
          <w:rFonts w:ascii="Arial" w:hAnsi="Arial"/>
          <w:b/>
          <w:sz w:val="24"/>
        </w:rPr>
        <w:t>2.2 Methodology for integrity transmission</w:t>
      </w:r>
    </w:p>
    <w:p>
      <w:pPr>
        <w:topLinePunct/>
        <w:snapToGrid w:val="0"/>
        <w:spacing w:before="180" w:beforeLines="50" w:after="180" w:afterLines="50" w:line="240" w:lineRule="auto"/>
        <w:jc w:val="both"/>
        <w:outlineLvl w:val="2"/>
        <w:rPr>
          <w:rFonts w:ascii="Times New Roman" w:hAnsi="Times New Roman"/>
          <w:b/>
          <w:szCs w:val="24"/>
        </w:rPr>
      </w:pPr>
      <w:r>
        <w:rPr>
          <w:rFonts w:ascii="Times New Roman" w:hAnsi="Times New Roman"/>
          <w:b/>
          <w:szCs w:val="24"/>
        </w:rPr>
        <w:t>2.2.1 Error source selection for integrity calculation</w:t>
      </w:r>
    </w:p>
    <w:p>
      <w:pPr>
        <w:topLinePunct/>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After determining the error sources for integrity, the transmission of associated measurement results and assistance data should be considered as the top priority.</w:t>
      </w:r>
    </w:p>
    <w:p>
      <w:pPr>
        <w:topLinePunct/>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In Rel-16/17, there is a maximum of 64 TRPs for measurement report and 32 measurement instances in each measurement report where each measurement instance can further contain multiple measurement elements, resulting in huge amount of measurement results reported. If all these results are utilized for integrity results calculation, high complexity and redundancy can not be avoided.</w:t>
      </w:r>
    </w:p>
    <w:p>
      <w:pPr>
        <w:topLinePunct/>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From our point of view, it is reasonable just to select part of the results from the TRPs for integrity calculation. Some of the TRPs may have a long distance to the target UE, which means these TRPs have very small RSRP or there is no LoS path between these TRPs and the UE. They may have slight impact on the integrity results.</w:t>
      </w:r>
    </w:p>
    <w:p>
      <w:pPr>
        <w:topLinePunct/>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Accordingly, we perform the simulation below. The corresponding evaluation assumptions can be obtained in table 5-3 and 5-4 in section 5.</w:t>
      </w:r>
    </w:p>
    <w:p>
      <w:pPr>
        <w:topLinePunct/>
        <w:snapToGrid w:val="0"/>
        <w:spacing w:before="180" w:beforeLines="50" w:after="180" w:afterLines="50" w:line="240" w:lineRule="auto"/>
        <w:jc w:val="both"/>
        <w:rPr>
          <w:rFonts w:ascii="Times New Roman" w:hAnsi="Times New Roman"/>
          <w:b/>
          <w:sz w:val="20"/>
          <w:szCs w:val="24"/>
        </w:rPr>
      </w:pPr>
    </w:p>
    <w:p>
      <w:pPr>
        <w:topLinePunct/>
        <w:snapToGrid w:val="0"/>
        <w:spacing w:before="180" w:beforeLines="50" w:after="180" w:afterLines="50" w:line="240" w:lineRule="auto"/>
        <w:jc w:val="center"/>
        <w:rPr>
          <w:szCs w:val="24"/>
        </w:rPr>
      </w:pPr>
      <w:r>
        <w:rPr>
          <w:szCs w:val="24"/>
        </w:rPr>
        <w:drawing>
          <wp:inline distT="0" distB="0" distL="0" distR="0">
            <wp:extent cx="4476750" cy="3355340"/>
            <wp:effectExtent l="0" t="0" r="0" b="0"/>
            <wp:docPr id="17" name="图片 17" descr="Integrity_Indoor_office_40M_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ntegrity_Indoor_office_40M_tit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pPr>
        <w:topLinePunct/>
        <w:snapToGrid w:val="0"/>
        <w:spacing w:before="180" w:beforeLines="50" w:after="180" w:afterLines="50" w:line="240" w:lineRule="auto"/>
        <w:jc w:val="center"/>
        <w:rPr>
          <w:rFonts w:ascii="Times New Roman" w:hAnsi="Times New Roman"/>
          <w:sz w:val="20"/>
          <w:szCs w:val="24"/>
        </w:rPr>
      </w:pPr>
      <w:r>
        <w:rPr>
          <w:rFonts w:ascii="Times New Roman" w:hAnsi="Times New Roman"/>
          <w:sz w:val="20"/>
          <w:szCs w:val="24"/>
        </w:rPr>
        <w:t>Figure 5 Positioning accuracy after selecting TRP in indoor office</w:t>
      </w:r>
    </w:p>
    <w:p>
      <w:pPr>
        <w:topLinePunct/>
        <w:snapToGrid w:val="0"/>
        <w:spacing w:before="180" w:beforeLines="50" w:after="180" w:afterLines="50" w:line="240" w:lineRule="auto"/>
        <w:jc w:val="center"/>
        <w:rPr>
          <w:szCs w:val="24"/>
        </w:rPr>
      </w:pPr>
      <w:r>
        <w:rPr>
          <w:szCs w:val="24"/>
        </w:rPr>
        <w:drawing>
          <wp:inline distT="0" distB="0" distL="0" distR="0">
            <wp:extent cx="4476750" cy="3355340"/>
            <wp:effectExtent l="0" t="0" r="0" b="0"/>
            <wp:docPr id="16" name="图片 16" descr="Integrity_Indoor_factory-SH_4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ntegrity_Indoor_factory-SH_40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pPr>
        <w:topLinePunct/>
        <w:snapToGrid w:val="0"/>
        <w:spacing w:before="180" w:beforeLines="50" w:after="180" w:afterLines="50" w:line="240" w:lineRule="auto"/>
        <w:jc w:val="center"/>
        <w:rPr>
          <w:rFonts w:ascii="Times New Roman" w:hAnsi="Times New Roman"/>
          <w:sz w:val="20"/>
          <w:szCs w:val="24"/>
        </w:rPr>
      </w:pPr>
      <w:r>
        <w:rPr>
          <w:rFonts w:ascii="Times New Roman" w:hAnsi="Times New Roman"/>
          <w:sz w:val="20"/>
          <w:szCs w:val="24"/>
        </w:rPr>
        <w:t>Figure 6 Positioning accuracy after selecting TRP in indoor factory</w:t>
      </w:r>
    </w:p>
    <w:p>
      <w:pPr>
        <w:autoSpaceDE w:val="0"/>
        <w:autoSpaceDN w:val="0"/>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In the simulation, we sort and rank the TRPs according to their RSRP values at UE side. The results show that the curve changes little, if we get rid of the TRPs which rank low. In other words, it is sufficient that only some of configured TRPs are involved in integrity computation.</w:t>
      </w:r>
    </w:p>
    <w:p>
      <w:pPr>
        <w:autoSpaceDE w:val="0"/>
        <w:autoSpaceDN w:val="0"/>
        <w:adjustRightInd w:val="0"/>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Observation 1: It is sufficient that only some of configured TRPs are involved in integrity computation.</w:t>
      </w:r>
    </w:p>
    <w:p>
      <w:pPr>
        <w:autoSpaceDE w:val="0"/>
        <w:autoSpaceDN w:val="0"/>
        <w:adjustRightInd w:val="0"/>
        <w:snapToGrid w:val="0"/>
        <w:spacing w:before="180" w:beforeLines="50" w:after="180" w:afterLines="50" w:line="240" w:lineRule="auto"/>
        <w:jc w:val="both"/>
        <w:rPr>
          <w:rFonts w:ascii="Times New Roman" w:hAnsi="Times New Roman"/>
          <w:b/>
          <w:i/>
          <w:sz w:val="20"/>
          <w:szCs w:val="24"/>
        </w:rPr>
      </w:pPr>
    </w:p>
    <w:p>
      <w:pPr>
        <w:pStyle w:val="4"/>
        <w:topLinePunct/>
        <w:snapToGrid w:val="0"/>
        <w:spacing w:before="180" w:beforeLines="50" w:after="180" w:afterLines="50" w:line="240" w:lineRule="auto"/>
        <w:jc w:val="both"/>
        <w:rPr>
          <w:rFonts w:ascii="Times New Roman" w:hAnsi="Times New Roman"/>
          <w:b/>
        </w:rPr>
      </w:pPr>
      <w:r>
        <w:rPr>
          <w:rFonts w:ascii="Times New Roman" w:hAnsi="Times New Roman"/>
          <w:b/>
        </w:rPr>
        <w:t>2.2.2 Configuration and Report</w:t>
      </w:r>
    </w:p>
    <w:p>
      <w:pPr>
        <w:topLinePunct/>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 xml:space="preserve">Basically, positioning integrity is a measure of the trust in the accuracy of the position-related data provided by the positioning system and the ability to provide timely and valid warnings to the LCS client when the positioning system does not fulfil the condition for intended operation. </w:t>
      </w:r>
    </w:p>
    <w:p>
      <w:pPr>
        <w:topLinePunct/>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 xml:space="preserve">According to the concept of integrity, the measurement results and related assistance data can assist in integrity results calculation. Hence, the integrity results will be calculated in different entity based on the concrete positioning method. </w:t>
      </w:r>
    </w:p>
    <w:p>
      <w:pPr>
        <w:topLinePunct/>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 xml:space="preserve">For LMF based positioning, UE/TRPs are enabled to report one or more measurement instances (of RSTD, DL RSRP and UE Rx-Tx time difference measurements for UE, of RTOA, UL RSRP and/or gNB Rx-Tx time difference measurements for TRP) in a single measurement report to LMF. Not all results should be involved for integrity computation as we mentioned in section 2.2.1. </w:t>
      </w:r>
    </w:p>
    <w:p>
      <w:pPr>
        <w:topLinePunct/>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Hence, we propose that LMF can configure part of TRPs for computation of the integrity results. A procedure is shown in the following figure.</w:t>
      </w:r>
    </w:p>
    <w:p>
      <w:pPr>
        <w:numPr>
          <w:ilvl w:val="0"/>
          <w:numId w:val="9"/>
        </w:numPr>
        <w:topLinePunct/>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 xml:space="preserve">LMF sends a </w:t>
      </w:r>
      <w:r>
        <w:rPr>
          <w:rFonts w:ascii="Times New Roman" w:hAnsi="Times New Roman"/>
          <w:b/>
          <w:sz w:val="20"/>
          <w:szCs w:val="24"/>
        </w:rPr>
        <w:t>MEASUREMENT REQUEST</w:t>
      </w:r>
      <w:r>
        <w:rPr>
          <w:rFonts w:ascii="Times New Roman" w:hAnsi="Times New Roman"/>
          <w:sz w:val="20"/>
          <w:szCs w:val="24"/>
        </w:rPr>
        <w:t xml:space="preserve"> message to configure specific TRPs whose measurement results will be assigned for integrity results</w:t>
      </w:r>
    </w:p>
    <w:p>
      <w:pPr>
        <w:numPr>
          <w:ilvl w:val="0"/>
          <w:numId w:val="10"/>
        </w:numPr>
        <w:topLinePunct/>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After the corresponding TRPs feedback the measurement results, LMF calculates the integrity results using the measurement results with corresponding labels.</w:t>
      </w:r>
    </w:p>
    <w:p>
      <w:pPr>
        <w:topLinePunct/>
        <w:adjustRightInd w:val="0"/>
        <w:snapToGrid w:val="0"/>
        <w:spacing w:before="180" w:beforeLines="50" w:after="180" w:afterLines="50" w:line="240" w:lineRule="auto"/>
        <w:jc w:val="both"/>
        <w:rPr>
          <w:rFonts w:ascii="Times New Roman" w:hAnsi="Times New Roman"/>
          <w:sz w:val="20"/>
          <w:szCs w:val="24"/>
          <w:highlight w:val="yellow"/>
        </w:rPr>
      </w:pPr>
    </w:p>
    <w:p>
      <w:pPr>
        <w:topLinePunct/>
        <w:adjustRightInd w:val="0"/>
        <w:snapToGrid w:val="0"/>
        <w:spacing w:before="180" w:beforeLines="50" w:after="180" w:afterLines="50" w:line="240" w:lineRule="auto"/>
        <w:jc w:val="center"/>
        <w:rPr>
          <w:rFonts w:ascii="Times New Roman" w:hAnsi="Times New Roman"/>
          <w:sz w:val="20"/>
          <w:szCs w:val="24"/>
        </w:rPr>
      </w:pPr>
      <w:r>
        <w:rPr>
          <w:rFonts w:ascii="Times New Roman" w:hAnsi="Times New Roman"/>
          <w:sz w:val="20"/>
          <w:szCs w:val="24"/>
        </w:rPr>
        <w:drawing>
          <wp:inline distT="0" distB="0" distL="0" distR="0">
            <wp:extent cx="5255895" cy="1605915"/>
            <wp:effectExtent l="0" t="0" r="1905" b="0"/>
            <wp:docPr id="15" name="图片 15"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图片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55895" cy="1605915"/>
                    </a:xfrm>
                    <a:prstGeom prst="rect">
                      <a:avLst/>
                    </a:prstGeom>
                    <a:noFill/>
                    <a:ln>
                      <a:noFill/>
                    </a:ln>
                  </pic:spPr>
                </pic:pic>
              </a:graphicData>
            </a:graphic>
          </wp:inline>
        </w:drawing>
      </w:r>
    </w:p>
    <w:p>
      <w:pPr>
        <w:topLinePunct/>
        <w:adjustRightInd w:val="0"/>
        <w:snapToGrid w:val="0"/>
        <w:spacing w:before="180" w:beforeLines="50" w:after="180" w:afterLines="50" w:line="240" w:lineRule="auto"/>
        <w:jc w:val="center"/>
        <w:rPr>
          <w:rFonts w:ascii="Times New Roman" w:hAnsi="Times New Roman"/>
          <w:sz w:val="20"/>
          <w:szCs w:val="24"/>
        </w:rPr>
      </w:pPr>
      <w:r>
        <w:rPr>
          <w:rFonts w:ascii="Times New Roman" w:hAnsi="Times New Roman"/>
          <w:sz w:val="20"/>
          <w:szCs w:val="24"/>
        </w:rPr>
        <w:t>Figure 7. Integrity results calculation procedure for LMF based methods</w:t>
      </w:r>
    </w:p>
    <w:p>
      <w:pPr>
        <w:topLinePunct/>
        <w:adjustRightInd w:val="0"/>
        <w:snapToGrid w:val="0"/>
        <w:spacing w:before="180" w:beforeLines="50" w:after="180" w:afterLines="50" w:line="240" w:lineRule="auto"/>
        <w:jc w:val="center"/>
        <w:rPr>
          <w:rFonts w:ascii="Times New Roman" w:hAnsi="Times New Roman"/>
          <w:sz w:val="20"/>
          <w:szCs w:val="24"/>
        </w:rPr>
      </w:pPr>
    </w:p>
    <w:p>
      <w:pPr>
        <w:topLinePunct/>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Alternatively, LMF can inform UE to select measurement results which are intended for integrity calculation from part of the measurement instances or frequency layers, etc.. The procedure is shown in the following figure.</w:t>
      </w:r>
    </w:p>
    <w:p>
      <w:pPr>
        <w:numPr>
          <w:ilvl w:val="0"/>
          <w:numId w:val="9"/>
        </w:numPr>
        <w:topLinePunct/>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 xml:space="preserve">LMF sends a </w:t>
      </w:r>
      <w:r>
        <w:rPr>
          <w:rFonts w:ascii="Times New Roman" w:hAnsi="Times New Roman"/>
          <w:b/>
          <w:sz w:val="20"/>
          <w:szCs w:val="24"/>
        </w:rPr>
        <w:t>MEASUREMENT REQUEST</w:t>
      </w:r>
      <w:r>
        <w:rPr>
          <w:rFonts w:ascii="Times New Roman" w:hAnsi="Times New Roman"/>
          <w:sz w:val="20"/>
          <w:szCs w:val="24"/>
        </w:rPr>
        <w:t xml:space="preserve"> message to corresponding UE containing a integrity calculation requirement</w:t>
      </w:r>
    </w:p>
    <w:p>
      <w:pPr>
        <w:numPr>
          <w:ilvl w:val="0"/>
          <w:numId w:val="10"/>
        </w:numPr>
        <w:topLinePunct/>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 xml:space="preserve">After receiving the requirement, UE selects corresponding measurement results based on some criteria and then feeds back the information. </w:t>
      </w:r>
    </w:p>
    <w:p>
      <w:pPr>
        <w:topLinePunct/>
        <w:adjustRightInd w:val="0"/>
        <w:snapToGrid w:val="0"/>
        <w:spacing w:before="180" w:beforeLines="50" w:after="180" w:afterLines="50" w:line="240" w:lineRule="auto"/>
        <w:jc w:val="both"/>
        <w:rPr>
          <w:rFonts w:hint="eastAsia" w:ascii="Times New Roman" w:hAnsi="Times New Roman"/>
          <w:sz w:val="20"/>
          <w:szCs w:val="24"/>
        </w:rPr>
      </w:pPr>
    </w:p>
    <w:p>
      <w:pPr>
        <w:topLinePunct/>
        <w:adjustRightInd w:val="0"/>
        <w:snapToGrid w:val="0"/>
        <w:spacing w:before="180" w:beforeLines="50" w:after="180" w:afterLines="50" w:line="240" w:lineRule="auto"/>
        <w:jc w:val="center"/>
        <w:rPr>
          <w:rFonts w:ascii="Times New Roman" w:hAnsi="Times New Roman"/>
          <w:sz w:val="20"/>
          <w:szCs w:val="24"/>
        </w:rPr>
      </w:pPr>
      <w:r>
        <w:rPr>
          <w:rFonts w:ascii="Times New Roman" w:hAnsi="Times New Roman"/>
          <w:sz w:val="20"/>
          <w:szCs w:val="24"/>
        </w:rPr>
        <w:drawing>
          <wp:inline distT="0" distB="0" distL="0" distR="0">
            <wp:extent cx="5748655" cy="954405"/>
            <wp:effectExtent l="0" t="0" r="4445" b="0"/>
            <wp:docPr id="14" name="图片 14"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图片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748655" cy="954405"/>
                    </a:xfrm>
                    <a:prstGeom prst="rect">
                      <a:avLst/>
                    </a:prstGeom>
                    <a:noFill/>
                    <a:ln>
                      <a:noFill/>
                    </a:ln>
                  </pic:spPr>
                </pic:pic>
              </a:graphicData>
            </a:graphic>
          </wp:inline>
        </w:drawing>
      </w:r>
    </w:p>
    <w:p>
      <w:pPr>
        <w:topLinePunct/>
        <w:adjustRightInd w:val="0"/>
        <w:snapToGrid w:val="0"/>
        <w:spacing w:before="180" w:beforeLines="50" w:after="180" w:afterLines="50" w:line="240" w:lineRule="auto"/>
        <w:jc w:val="center"/>
        <w:rPr>
          <w:rFonts w:ascii="Times New Roman" w:hAnsi="Times New Roman"/>
          <w:sz w:val="20"/>
          <w:szCs w:val="24"/>
        </w:rPr>
      </w:pPr>
      <w:r>
        <w:rPr>
          <w:rFonts w:ascii="Times New Roman" w:hAnsi="Times New Roman"/>
          <w:sz w:val="20"/>
          <w:szCs w:val="24"/>
        </w:rPr>
        <w:t>Figure 8. Integrity results calculation procedure for LMF based methods for Alt 2</w:t>
      </w:r>
    </w:p>
    <w:p>
      <w:pPr>
        <w:topLinePunct/>
        <w:adjustRightInd w:val="0"/>
        <w:snapToGrid w:val="0"/>
        <w:spacing w:before="180" w:beforeLines="50" w:after="180" w:afterLines="50" w:line="240" w:lineRule="auto"/>
        <w:jc w:val="center"/>
        <w:rPr>
          <w:rFonts w:ascii="Times New Roman" w:hAnsi="Times New Roman"/>
          <w:sz w:val="20"/>
          <w:szCs w:val="24"/>
        </w:rPr>
      </w:pPr>
    </w:p>
    <w:p>
      <w:pPr>
        <w:topLinePunct/>
        <w:snapToGrid w:val="0"/>
        <w:spacing w:before="180" w:beforeLines="50" w:after="180" w:afterLines="50" w:line="240" w:lineRule="auto"/>
        <w:jc w:val="both"/>
        <w:rPr>
          <w:rFonts w:hint="eastAsia" w:ascii="Times New Roman" w:hAnsi="Times New Roman"/>
          <w:b/>
          <w:i/>
          <w:sz w:val="20"/>
          <w:szCs w:val="24"/>
        </w:rPr>
      </w:pPr>
      <w:r>
        <w:rPr>
          <w:rFonts w:ascii="Times New Roman" w:hAnsi="Times New Roman"/>
          <w:b/>
          <w:i/>
          <w:sz w:val="20"/>
          <w:szCs w:val="24"/>
        </w:rPr>
        <w:t>Proposal 10: Support to select part of the measurement results or select part of the TRPs for integrity calculation</w:t>
      </w:r>
      <w:r>
        <w:rPr>
          <w:rFonts w:hint="eastAsia" w:ascii="Times New Roman" w:hAnsi="Times New Roman"/>
          <w:b/>
          <w:i/>
          <w:sz w:val="20"/>
          <w:szCs w:val="24"/>
        </w:rPr>
        <w:t>.</w:t>
      </w:r>
    </w:p>
    <w:p>
      <w:pPr>
        <w:topLinePunct/>
        <w:snapToGrid w:val="0"/>
        <w:spacing w:before="180" w:beforeLines="50" w:after="180" w:afterLines="50" w:line="240" w:lineRule="auto"/>
        <w:jc w:val="both"/>
        <w:rPr>
          <w:rFonts w:ascii="Times New Roman" w:hAnsi="Times New Roman"/>
          <w:b/>
          <w:i/>
          <w:sz w:val="20"/>
          <w:szCs w:val="24"/>
        </w:rPr>
      </w:pPr>
    </w:p>
    <w:p>
      <w:pPr>
        <w:pStyle w:val="2"/>
        <w:topLinePunct/>
        <w:snapToGrid w:val="0"/>
        <w:spacing w:before="180" w:beforeLines="50" w:after="180" w:afterLines="50"/>
        <w:ind w:left="431" w:hanging="431"/>
        <w:jc w:val="both"/>
        <w:rPr>
          <w:sz w:val="28"/>
          <w:lang w:val="en-US"/>
        </w:rPr>
      </w:pPr>
      <w:r>
        <w:rPr>
          <w:sz w:val="28"/>
          <w:lang w:val="en-US"/>
        </w:rPr>
        <w:t>Conclusion</w:t>
      </w:r>
    </w:p>
    <w:p>
      <w:pPr>
        <w:snapToGrid w:val="0"/>
        <w:rPr>
          <w:rFonts w:ascii="Times New Roman" w:hAnsi="Times New Roman" w:eastAsia="宋体"/>
          <w:sz w:val="20"/>
          <w:szCs w:val="24"/>
        </w:rPr>
      </w:pPr>
      <w:r>
        <w:rPr>
          <w:rFonts w:ascii="Times New Roman" w:hAnsi="Times New Roman" w:eastAsia="宋体"/>
          <w:sz w:val="20"/>
          <w:szCs w:val="24"/>
        </w:rPr>
        <w:t>In this contribution, we discuss the error source model and transmission for</w:t>
      </w:r>
      <w:r>
        <w:rPr>
          <w:rFonts w:ascii="Times New Roman" w:hAnsi="Times New Roman"/>
          <w:sz w:val="20"/>
          <w:szCs w:val="24"/>
        </w:rPr>
        <w:t xml:space="preserve"> integrity of RAT dependent positioning</w:t>
      </w:r>
      <w:r>
        <w:rPr>
          <w:rFonts w:ascii="Times New Roman" w:hAnsi="Times New Roman" w:eastAsia="宋体"/>
          <w:sz w:val="20"/>
          <w:szCs w:val="24"/>
        </w:rPr>
        <w:t>, and we have the following observations and proposals:</w:t>
      </w:r>
    </w:p>
    <w:p>
      <w:pPr>
        <w:autoSpaceDE w:val="0"/>
        <w:autoSpaceDN w:val="0"/>
        <w:adjustRightInd w:val="0"/>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Observation 1: It is sufficient that only some of configured TRPs are involved in integrity computation.</w:t>
      </w:r>
    </w:p>
    <w:p>
      <w:pPr>
        <w:topLinePunct/>
        <w:autoSpaceDE w:val="0"/>
        <w:autoSpaceDN w:val="0"/>
        <w:adjustRightInd w:val="0"/>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Proposal 1: The following timing-related measurement errors should be model as Gaussian distribution:</w:t>
      </w:r>
    </w:p>
    <w:p>
      <w:pPr>
        <w:pStyle w:val="90"/>
        <w:numPr>
          <w:ilvl w:val="3"/>
          <w:numId w:val="5"/>
        </w:numPr>
        <w:tabs>
          <w:tab w:val="left" w:pos="1680"/>
        </w:tabs>
        <w:topLinePunct/>
        <w:snapToGrid w:val="0"/>
        <w:spacing w:before="180" w:beforeLines="50" w:afterLines="50" w:line="240" w:lineRule="auto"/>
        <w:contextualSpacing w:val="0"/>
        <w:jc w:val="both"/>
        <w:rPr>
          <w:b/>
          <w:i/>
          <w:sz w:val="20"/>
          <w:lang w:eastAsia="zh-CN"/>
        </w:rPr>
      </w:pPr>
      <w:r>
        <w:rPr>
          <w:b/>
          <w:i/>
          <w:sz w:val="20"/>
          <w:lang w:eastAsia="zh-CN"/>
        </w:rPr>
        <w:t xml:space="preserve">RSTD measurement for DL-TDOA </w:t>
      </w:r>
    </w:p>
    <w:p>
      <w:pPr>
        <w:pStyle w:val="90"/>
        <w:numPr>
          <w:ilvl w:val="3"/>
          <w:numId w:val="5"/>
        </w:numPr>
        <w:tabs>
          <w:tab w:val="left" w:pos="1680"/>
        </w:tabs>
        <w:topLinePunct/>
        <w:snapToGrid w:val="0"/>
        <w:spacing w:before="180" w:beforeLines="50" w:afterLines="50" w:line="240" w:lineRule="auto"/>
        <w:contextualSpacing w:val="0"/>
        <w:jc w:val="both"/>
        <w:rPr>
          <w:b/>
          <w:i/>
          <w:sz w:val="20"/>
          <w:lang w:eastAsia="zh-CN"/>
        </w:rPr>
      </w:pPr>
      <w:r>
        <w:rPr>
          <w:b/>
          <w:i/>
          <w:sz w:val="20"/>
          <w:lang w:eastAsia="zh-CN"/>
        </w:rPr>
        <w:t>RTOA measurement for UL-TDOA</w:t>
      </w:r>
    </w:p>
    <w:p>
      <w:pPr>
        <w:pStyle w:val="90"/>
        <w:numPr>
          <w:ilvl w:val="3"/>
          <w:numId w:val="5"/>
        </w:numPr>
        <w:tabs>
          <w:tab w:val="left" w:pos="1680"/>
        </w:tabs>
        <w:topLinePunct/>
        <w:snapToGrid w:val="0"/>
        <w:spacing w:before="180" w:beforeLines="50" w:afterLines="50" w:line="240" w:lineRule="auto"/>
        <w:contextualSpacing w:val="0"/>
        <w:jc w:val="both"/>
        <w:rPr>
          <w:b/>
          <w:i/>
          <w:sz w:val="20"/>
          <w:lang w:eastAsia="zh-CN"/>
        </w:rPr>
      </w:pPr>
      <w:r>
        <w:rPr>
          <w:b/>
          <w:i/>
          <w:sz w:val="20"/>
          <w:lang w:eastAsia="zh-CN"/>
        </w:rPr>
        <w:t>UE Rx-Tx time difference measurement for Multi-RTT</w:t>
      </w:r>
    </w:p>
    <w:p>
      <w:pPr>
        <w:pStyle w:val="90"/>
        <w:numPr>
          <w:ilvl w:val="3"/>
          <w:numId w:val="5"/>
        </w:numPr>
        <w:tabs>
          <w:tab w:val="left" w:pos="1680"/>
        </w:tabs>
        <w:snapToGrid w:val="0"/>
        <w:spacing w:before="180" w:beforeLines="50" w:afterLines="50" w:line="240" w:lineRule="auto"/>
        <w:contextualSpacing w:val="0"/>
        <w:rPr>
          <w:b/>
          <w:i/>
          <w:sz w:val="20"/>
          <w:lang w:eastAsia="zh-CN"/>
        </w:rPr>
      </w:pPr>
      <w:r>
        <w:rPr>
          <w:b/>
          <w:i/>
          <w:sz w:val="20"/>
          <w:lang w:eastAsia="zh-CN"/>
        </w:rPr>
        <w:t>gNB Rx-Tx time difference measurement for Multi-RTT</w:t>
      </w:r>
    </w:p>
    <w:p>
      <w:pPr>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Proposal 2: For timing related error source model for integrity, the candidate values of the standard deviation and mean can be based on the range of</w:t>
      </w:r>
      <w:r>
        <w:rPr>
          <w:rFonts w:ascii="Times New Roman" w:hAnsi="Times New Roman"/>
          <w:sz w:val="20"/>
          <w:szCs w:val="24"/>
        </w:rPr>
        <w:t xml:space="preserve"> </w:t>
      </w:r>
      <w:r>
        <w:rPr>
          <w:rFonts w:ascii="Times New Roman" w:hAnsi="Times New Roman"/>
          <w:b/>
          <w:i/>
          <w:sz w:val="20"/>
          <w:szCs w:val="24"/>
        </w:rPr>
        <w:t>NR-TimingQuality or nr-DL-PRS-ExpectedRSTD-Uncertainty.</w:t>
      </w:r>
    </w:p>
    <w:p>
      <w:pPr>
        <w:topLinePunct/>
        <w:autoSpaceDE w:val="0"/>
        <w:autoSpaceDN w:val="0"/>
        <w:adjustRightInd w:val="0"/>
        <w:snapToGrid w:val="0"/>
        <w:spacing w:before="180" w:beforeLines="50" w:after="0" w:line="240" w:lineRule="auto"/>
        <w:jc w:val="both"/>
        <w:rPr>
          <w:rFonts w:ascii="Times New Roman" w:hAnsi="Times New Roman"/>
          <w:b/>
          <w:i/>
          <w:sz w:val="20"/>
          <w:szCs w:val="24"/>
        </w:rPr>
      </w:pPr>
      <w:r>
        <w:rPr>
          <w:rFonts w:ascii="Times New Roman" w:hAnsi="Times New Roman"/>
          <w:b/>
          <w:i/>
          <w:sz w:val="20"/>
          <w:szCs w:val="24"/>
        </w:rPr>
        <w:t>Proposal 3: The angle related measurements should be model as Gaussian distribution.</w:t>
      </w:r>
    </w:p>
    <w:p>
      <w:pPr>
        <w:numPr>
          <w:ilvl w:val="0"/>
          <w:numId w:val="6"/>
        </w:numPr>
        <w:topLinePunct/>
        <w:autoSpaceDE w:val="0"/>
        <w:autoSpaceDN w:val="0"/>
        <w:adjustRightInd w:val="0"/>
        <w:snapToGrid w:val="0"/>
        <w:spacing w:after="180" w:afterLines="50" w:line="240" w:lineRule="auto"/>
        <w:ind w:left="839"/>
        <w:jc w:val="both"/>
        <w:rPr>
          <w:rFonts w:ascii="Times New Roman" w:hAnsi="Times New Roman"/>
          <w:b/>
          <w:i/>
          <w:sz w:val="20"/>
          <w:szCs w:val="24"/>
        </w:rPr>
      </w:pPr>
      <w:r>
        <w:rPr>
          <w:rFonts w:ascii="Times New Roman" w:hAnsi="Times New Roman"/>
          <w:b/>
          <w:i/>
          <w:sz w:val="20"/>
          <w:szCs w:val="24"/>
        </w:rPr>
        <w:t>AoA and ZoA errors are separately modeled.</w:t>
      </w:r>
    </w:p>
    <w:p>
      <w:pPr>
        <w:topLinePunct/>
        <w:autoSpaceDE w:val="0"/>
        <w:autoSpaceDN w:val="0"/>
        <w:adjustRightInd w:val="0"/>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 xml:space="preserve">Proposal 4: There is no need to express </w:t>
      </w:r>
      <w:r>
        <w:rPr>
          <w:rFonts w:ascii="Times New Roman" w:hAnsi="Times New Roman"/>
          <w:b/>
          <w:i/>
          <w:sz w:val="20"/>
          <w:szCs w:val="24"/>
          <w:lang w:val="en-CA"/>
        </w:rPr>
        <w:t>the</w:t>
      </w:r>
      <w:r>
        <w:rPr>
          <w:rFonts w:ascii="Times New Roman" w:hAnsi="Times New Roman"/>
          <w:b/>
          <w:i/>
          <w:sz w:val="20"/>
          <w:szCs w:val="24"/>
        </w:rPr>
        <w:t xml:space="preserve"> angle related</w:t>
      </w:r>
      <w:r>
        <w:rPr>
          <w:rFonts w:ascii="Times New Roman" w:hAnsi="Times New Roman"/>
          <w:b/>
          <w:i/>
          <w:sz w:val="20"/>
          <w:szCs w:val="24"/>
          <w:lang w:val="en-CA"/>
        </w:rPr>
        <w:t xml:space="preserve"> error </w:t>
      </w:r>
      <w:r>
        <w:rPr>
          <w:rFonts w:ascii="Times New Roman" w:hAnsi="Times New Roman"/>
          <w:b/>
          <w:i/>
          <w:sz w:val="20"/>
          <w:szCs w:val="24"/>
        </w:rPr>
        <w:t xml:space="preserve">as </w:t>
      </w:r>
      <w:r>
        <w:rPr>
          <w:rFonts w:ascii="Times New Roman" w:hAnsi="Times New Roman"/>
          <w:b/>
          <w:i/>
          <w:sz w:val="20"/>
          <w:szCs w:val="24"/>
          <w:lang w:val="en-CA"/>
        </w:rPr>
        <w:t>a defined function of AoA/ZoA in LCS</w:t>
      </w:r>
      <w:r>
        <w:rPr>
          <w:rFonts w:ascii="Times New Roman" w:hAnsi="Times New Roman"/>
          <w:b/>
          <w:i/>
          <w:sz w:val="20"/>
          <w:szCs w:val="24"/>
        </w:rPr>
        <w:t>.</w:t>
      </w:r>
    </w:p>
    <w:p>
      <w:pPr>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Proposal 5: For angle related error sources, the candidate values of mean and standard deviation can be based on the range of</w:t>
      </w:r>
      <w:r>
        <w:rPr>
          <w:rFonts w:ascii="Times New Roman" w:hAnsi="Times New Roman"/>
          <w:b/>
          <w:sz w:val="20"/>
          <w:szCs w:val="24"/>
        </w:rPr>
        <w:t xml:space="preserve"> </w:t>
      </w:r>
      <w:r>
        <w:rPr>
          <w:rFonts w:ascii="Times New Roman" w:hAnsi="Times New Roman"/>
          <w:b/>
          <w:i/>
          <w:sz w:val="20"/>
          <w:szCs w:val="24"/>
        </w:rPr>
        <w:t>NR-DL-PRS-ExpectedAoD-or-AoA.</w:t>
      </w:r>
    </w:p>
    <w:p>
      <w:pPr>
        <w:topLinePunct/>
        <w:autoSpaceDE w:val="0"/>
        <w:autoSpaceDN w:val="0"/>
        <w:adjustRightInd w:val="0"/>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Proposal 6</w:t>
      </w:r>
      <w:r>
        <w:rPr>
          <w:rFonts w:hint="eastAsia" w:ascii="Times New Roman" w:hAnsi="Times New Roman"/>
          <w:b/>
          <w:i/>
          <w:sz w:val="20"/>
          <w:szCs w:val="24"/>
        </w:rPr>
        <w:t>：</w:t>
      </w:r>
      <w:r>
        <w:rPr>
          <w:rFonts w:ascii="Times New Roman" w:hAnsi="Times New Roman"/>
          <w:b/>
          <w:i/>
          <w:sz w:val="20"/>
          <w:szCs w:val="24"/>
        </w:rPr>
        <w:t xml:space="preserve">The </w:t>
      </w:r>
      <w:r>
        <w:rPr>
          <w:rFonts w:ascii="Times New Roman" w:hAnsi="Times New Roman"/>
          <w:b/>
          <w:i/>
          <w:sz w:val="20"/>
          <w:szCs w:val="24"/>
          <w:lang w:val="en-CA"/>
        </w:rPr>
        <w:t>boresight direction of DL-PRS (e.g., NR-DL-PRS-BeamInfo in TS 37.355)</w:t>
      </w:r>
      <w:r>
        <w:rPr>
          <w:rFonts w:ascii="Times New Roman" w:hAnsi="Times New Roman"/>
          <w:b/>
          <w:i/>
          <w:sz w:val="20"/>
          <w:szCs w:val="24"/>
        </w:rPr>
        <w:t xml:space="preserve"> and the </w:t>
      </w:r>
      <w:r>
        <w:rPr>
          <w:rFonts w:ascii="Times New Roman" w:hAnsi="Times New Roman"/>
          <w:b/>
          <w:i/>
          <w:sz w:val="20"/>
          <w:szCs w:val="24"/>
          <w:lang w:val="en-CA"/>
        </w:rPr>
        <w:t>beam information of DL-PRS (e.g., NR-TRP-BeamAntennaInfo in TS 37.355)</w:t>
      </w:r>
      <w:r>
        <w:rPr>
          <w:rFonts w:ascii="Times New Roman" w:hAnsi="Times New Roman"/>
          <w:b/>
          <w:i/>
          <w:sz w:val="20"/>
          <w:szCs w:val="24"/>
        </w:rPr>
        <w:t xml:space="preserve"> should not be considered as error sources.</w:t>
      </w:r>
    </w:p>
    <w:p>
      <w:pPr>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Proposal 7</w:t>
      </w:r>
      <w:r>
        <w:rPr>
          <w:rFonts w:hint="eastAsia" w:ascii="Times New Roman" w:hAnsi="Times New Roman"/>
          <w:b/>
          <w:i/>
          <w:sz w:val="20"/>
          <w:szCs w:val="24"/>
        </w:rPr>
        <w:t>：</w:t>
      </w:r>
      <w:r>
        <w:rPr>
          <w:rFonts w:ascii="Times New Roman" w:hAnsi="Times New Roman"/>
          <w:b/>
          <w:i/>
          <w:sz w:val="20"/>
          <w:szCs w:val="24"/>
        </w:rPr>
        <w:t>TEG related timing error</w:t>
      </w:r>
      <w:r>
        <w:rPr>
          <w:rFonts w:ascii="Times New Roman" w:hAnsi="Times New Roman"/>
          <w:sz w:val="20"/>
          <w:szCs w:val="24"/>
        </w:rPr>
        <w:t xml:space="preserve"> </w:t>
      </w:r>
      <w:r>
        <w:rPr>
          <w:rFonts w:ascii="Times New Roman" w:hAnsi="Times New Roman"/>
          <w:b/>
          <w:i/>
          <w:sz w:val="20"/>
          <w:szCs w:val="24"/>
        </w:rPr>
        <w:t xml:space="preserve">should not be considered as an independent error source. </w:t>
      </w:r>
    </w:p>
    <w:p>
      <w:pPr>
        <w:autoSpaceDE w:val="0"/>
        <w:autoSpaceDN w:val="0"/>
        <w:adjustRightInd w:val="0"/>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 xml:space="preserve">Proposal 8: TRP/ARP location should be modeled as Gaussian distribution or truncated Gaussian distribution. </w:t>
      </w:r>
    </w:p>
    <w:p>
      <w:pPr>
        <w:numPr>
          <w:ilvl w:val="0"/>
          <w:numId w:val="7"/>
        </w:numPr>
        <w:autoSpaceDE w:val="0"/>
        <w:autoSpaceDN w:val="0"/>
        <w:adjustRightInd w:val="0"/>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The mean value of TRP/ARP can be set as zero while the standard deviation can be based on the range of Location uncertainty.</w:t>
      </w:r>
    </w:p>
    <w:p>
      <w:pPr>
        <w:topLinePunct/>
        <w:adjustRightInd w:val="0"/>
        <w:snapToGrid w:val="0"/>
        <w:spacing w:before="180" w:beforeLines="50" w:after="180" w:afterLines="50" w:line="240" w:lineRule="auto"/>
        <w:jc w:val="both"/>
        <w:rPr>
          <w:rFonts w:hint="eastAsia" w:ascii="Times New Roman" w:hAnsi="Times New Roman" w:eastAsiaTheme="minorEastAsia"/>
          <w:b/>
          <w:i/>
          <w:sz w:val="20"/>
          <w:szCs w:val="24"/>
          <w:lang w:val="en-US" w:eastAsia="zh-CN"/>
        </w:rPr>
      </w:pPr>
      <w:r>
        <w:rPr>
          <w:rFonts w:ascii="Times New Roman" w:hAnsi="Times New Roman"/>
          <w:b/>
          <w:i/>
          <w:sz w:val="20"/>
          <w:szCs w:val="24"/>
        </w:rPr>
        <w:t xml:space="preserve">Proposal 9: </w:t>
      </w:r>
      <w:r>
        <w:rPr>
          <w:rFonts w:hint="eastAsia" w:ascii="Times New Roman" w:hAnsi="Times New Roman"/>
          <w:b/>
          <w:i/>
          <w:sz w:val="20"/>
          <w:szCs w:val="24"/>
          <w:lang w:val="en-US" w:eastAsia="zh-CN"/>
        </w:rPr>
        <w:t>I</w:t>
      </w:r>
      <w:r>
        <w:rPr>
          <w:rFonts w:ascii="Times New Roman" w:hAnsi="Times New Roman"/>
          <w:b/>
          <w:i/>
          <w:sz w:val="20"/>
          <w:szCs w:val="24"/>
        </w:rPr>
        <w:t>nter-TRP synchronization</w:t>
      </w:r>
      <w:r>
        <w:rPr>
          <w:rFonts w:hint="eastAsia" w:ascii="Times New Roman" w:hAnsi="Times New Roman"/>
          <w:b/>
          <w:i/>
          <w:sz w:val="20"/>
          <w:szCs w:val="24"/>
          <w:lang w:val="en-US" w:eastAsia="zh-CN"/>
        </w:rPr>
        <w:t xml:space="preserve"> error</w:t>
      </w:r>
      <w:r>
        <w:rPr>
          <w:rFonts w:ascii="Times New Roman" w:hAnsi="Times New Roman"/>
          <w:b/>
          <w:i/>
          <w:sz w:val="20"/>
          <w:szCs w:val="24"/>
        </w:rPr>
        <w:t xml:space="preserve"> should be modeled as Gaussian distribution or truncated Gaussian distribution</w:t>
      </w:r>
      <w:r>
        <w:rPr>
          <w:rFonts w:hint="eastAsia" w:ascii="Times New Roman" w:hAnsi="Times New Roman"/>
          <w:b/>
          <w:i/>
          <w:sz w:val="20"/>
          <w:szCs w:val="24"/>
          <w:lang w:val="en-US" w:eastAsia="zh-CN"/>
        </w:rPr>
        <w:t xml:space="preserve"> for integrity.</w:t>
      </w:r>
    </w:p>
    <w:p>
      <w:pPr>
        <w:numPr>
          <w:ilvl w:val="0"/>
          <w:numId w:val="8"/>
        </w:numPr>
        <w:topLinePunct/>
        <w:adjustRightInd w:val="0"/>
        <w:snapToGrid w:val="0"/>
        <w:spacing w:before="180" w:beforeLines="50" w:after="180" w:afterLines="50" w:line="240" w:lineRule="auto"/>
        <w:ind w:left="840" w:hanging="420"/>
        <w:jc w:val="both"/>
        <w:rPr>
          <w:rFonts w:ascii="Times New Roman" w:hAnsi="Times New Roman"/>
          <w:b/>
          <w:i/>
          <w:sz w:val="20"/>
          <w:szCs w:val="24"/>
        </w:rPr>
      </w:pPr>
      <w:r>
        <w:rPr>
          <w:rFonts w:ascii="Times New Roman" w:hAnsi="Times New Roman"/>
          <w:b/>
          <w:i/>
          <w:sz w:val="20"/>
          <w:szCs w:val="24"/>
        </w:rPr>
        <w:t>The mean value and standard deviation for inter-TRP synchronization</w:t>
      </w:r>
      <w:r>
        <w:rPr>
          <w:rFonts w:hint="eastAsia" w:ascii="Times New Roman" w:hAnsi="Times New Roman"/>
          <w:b/>
          <w:i/>
          <w:sz w:val="20"/>
          <w:szCs w:val="24"/>
          <w:lang w:val="en-US" w:eastAsia="zh-CN"/>
        </w:rPr>
        <w:t xml:space="preserve"> error model</w:t>
      </w:r>
      <w:r>
        <w:rPr>
          <w:rFonts w:ascii="Times New Roman" w:hAnsi="Times New Roman"/>
          <w:b/>
          <w:i/>
          <w:sz w:val="20"/>
          <w:szCs w:val="24"/>
        </w:rPr>
        <w:t xml:space="preserve"> can be based on the range of rtd-RefQuality and rtd-Quality. </w:t>
      </w:r>
    </w:p>
    <w:p>
      <w:pPr>
        <w:topLinePunct/>
        <w:adjustRightInd w:val="0"/>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 xml:space="preserve"> </w:t>
      </w:r>
    </w:p>
    <w:p>
      <w:pPr>
        <w:topLinePunct/>
        <w:snapToGrid w:val="0"/>
        <w:spacing w:before="180" w:beforeLines="50" w:after="180" w:afterLines="50" w:line="240" w:lineRule="auto"/>
        <w:jc w:val="both"/>
        <w:rPr>
          <w:rFonts w:ascii="Times New Roman" w:hAnsi="Times New Roman"/>
          <w:b/>
          <w:i/>
          <w:sz w:val="20"/>
          <w:szCs w:val="24"/>
        </w:rPr>
      </w:pPr>
      <w:r>
        <w:rPr>
          <w:rFonts w:ascii="Times New Roman" w:hAnsi="Times New Roman"/>
          <w:b/>
          <w:i/>
          <w:sz w:val="20"/>
          <w:szCs w:val="24"/>
        </w:rPr>
        <w:t>Proposal 10: Support to select part of the measurement results or select part of the TRPs for integrity calculation</w:t>
      </w:r>
      <w:r>
        <w:rPr>
          <w:rFonts w:hint="eastAsia" w:ascii="Times New Roman" w:hAnsi="Times New Roman"/>
          <w:b/>
          <w:i/>
          <w:sz w:val="20"/>
          <w:szCs w:val="24"/>
        </w:rPr>
        <w:t>.</w:t>
      </w:r>
    </w:p>
    <w:p>
      <w:pPr>
        <w:pStyle w:val="2"/>
        <w:topLinePunct/>
        <w:snapToGrid w:val="0"/>
        <w:spacing w:before="180" w:beforeLines="50" w:after="180" w:afterLines="50"/>
        <w:ind w:left="431" w:hanging="431"/>
        <w:jc w:val="both"/>
        <w:rPr>
          <w:sz w:val="28"/>
          <w:lang w:val="en-US"/>
        </w:rPr>
      </w:pPr>
      <w:r>
        <w:rPr>
          <w:sz w:val="28"/>
          <w:lang w:val="en-US"/>
        </w:rPr>
        <w:t>Reference</w:t>
      </w:r>
    </w:p>
    <w:p>
      <w:pPr>
        <w:numPr>
          <w:ilvl w:val="0"/>
          <w:numId w:val="11"/>
        </w:numPr>
        <w:topLinePunct/>
        <w:autoSpaceDE w:val="0"/>
        <w:autoSpaceDN w:val="0"/>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RP-213588 Revised SID on Study on expanded and improved NR positioning, RAN#94e</w:t>
      </w:r>
    </w:p>
    <w:p>
      <w:pPr>
        <w:pStyle w:val="90"/>
        <w:numPr>
          <w:ilvl w:val="0"/>
          <w:numId w:val="11"/>
        </w:numPr>
        <w:overflowPunct/>
        <w:topLinePunct/>
        <w:autoSpaceDE/>
        <w:autoSpaceDN/>
        <w:adjustRightInd/>
        <w:snapToGrid w:val="0"/>
        <w:spacing w:before="180" w:beforeLines="50" w:afterLines="50" w:line="240" w:lineRule="auto"/>
        <w:ind w:left="432" w:hanging="432"/>
        <w:contextualSpacing w:val="0"/>
        <w:jc w:val="both"/>
        <w:textAlignment w:val="auto"/>
        <w:rPr>
          <w:sz w:val="20"/>
        </w:rPr>
      </w:pPr>
      <w:r>
        <w:rPr>
          <w:rFonts w:eastAsia="Malgun Gothic"/>
          <w:sz w:val="20"/>
        </w:rPr>
        <w:t>3GPP TSG RAN WG1 #1</w:t>
      </w:r>
      <w:r>
        <w:rPr>
          <w:sz w:val="20"/>
          <w:lang w:eastAsia="zh-CN"/>
        </w:rPr>
        <w:t xml:space="preserve">10 </w:t>
      </w:r>
      <w:r>
        <w:rPr>
          <w:rFonts w:eastAsia="Malgun Gothic"/>
          <w:sz w:val="20"/>
        </w:rPr>
        <w:t>RAN1 Chair’s Notes</w:t>
      </w:r>
    </w:p>
    <w:p>
      <w:pPr>
        <w:numPr>
          <w:ilvl w:val="0"/>
          <w:numId w:val="11"/>
        </w:numPr>
        <w:topLinePunct/>
        <w:autoSpaceDE w:val="0"/>
        <w:autoSpaceDN w:val="0"/>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38.305, User Equipment(UE) positioning in NG-RAN (Release 17)</w:t>
      </w:r>
    </w:p>
    <w:p>
      <w:pPr>
        <w:numPr>
          <w:ilvl w:val="0"/>
          <w:numId w:val="11"/>
        </w:numPr>
        <w:topLinePunct/>
        <w:autoSpaceDE w:val="0"/>
        <w:autoSpaceDN w:val="0"/>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37.355, running CRs: R2-2203315_(37355 running CR)_v10a</w:t>
      </w:r>
    </w:p>
    <w:p>
      <w:pPr>
        <w:numPr>
          <w:ilvl w:val="0"/>
          <w:numId w:val="11"/>
        </w:numPr>
        <w:topLinePunct/>
        <w:autoSpaceDE w:val="0"/>
        <w:autoSpaceDN w:val="0"/>
        <w:adjustRightInd w:val="0"/>
        <w:snapToGrid w:val="0"/>
        <w:spacing w:before="180" w:beforeLines="50" w:after="180" w:afterLines="50" w:line="240" w:lineRule="auto"/>
        <w:jc w:val="both"/>
        <w:rPr>
          <w:rFonts w:ascii="Times New Roman" w:hAnsi="Times New Roman"/>
          <w:sz w:val="20"/>
          <w:szCs w:val="24"/>
        </w:rPr>
      </w:pPr>
      <w:r>
        <w:rPr>
          <w:rFonts w:ascii="Times New Roman" w:hAnsi="Times New Roman"/>
          <w:sz w:val="20"/>
          <w:szCs w:val="24"/>
        </w:rPr>
        <w:t>38.455, Technical Specification Group Radio Access Network in NG-RAN</w:t>
      </w:r>
    </w:p>
    <w:p>
      <w:pPr>
        <w:topLinePunct/>
        <w:autoSpaceDE w:val="0"/>
        <w:autoSpaceDN w:val="0"/>
        <w:adjustRightInd w:val="0"/>
        <w:snapToGrid w:val="0"/>
        <w:spacing w:before="180" w:beforeLines="50" w:after="180" w:afterLines="50" w:line="240" w:lineRule="auto"/>
        <w:jc w:val="both"/>
        <w:rPr>
          <w:rFonts w:ascii="Times New Roman" w:hAnsi="Times New Roman"/>
          <w:sz w:val="20"/>
          <w:szCs w:val="24"/>
        </w:rPr>
      </w:pPr>
    </w:p>
    <w:p>
      <w:pPr>
        <w:pStyle w:val="2"/>
        <w:snapToGrid w:val="0"/>
        <w:spacing w:before="180" w:beforeLines="50" w:after="180" w:afterLines="50"/>
        <w:ind w:left="431" w:hanging="431"/>
        <w:jc w:val="both"/>
        <w:rPr>
          <w:sz w:val="28"/>
          <w:lang w:val="en-US"/>
        </w:rPr>
      </w:pPr>
      <w:r>
        <w:rPr>
          <w:sz w:val="28"/>
          <w:lang w:val="en-US"/>
        </w:rPr>
        <w:t>Simulation assumption</w:t>
      </w:r>
      <w:bookmarkEnd w:id="0"/>
      <w:bookmarkEnd w:id="1"/>
      <w:bookmarkEnd w:id="2"/>
      <w:bookmarkEnd w:id="3"/>
      <w:bookmarkEnd w:id="4"/>
    </w:p>
    <w:p>
      <w:pPr>
        <w:numPr>
          <w:ilvl w:val="255"/>
          <w:numId w:val="0"/>
        </w:numPr>
        <w:snapToGrid w:val="0"/>
        <w:spacing w:before="180" w:beforeLines="50" w:after="180" w:afterLines="50" w:line="240" w:lineRule="auto"/>
        <w:jc w:val="center"/>
        <w:rPr>
          <w:rFonts w:ascii="Times New Roman" w:hAnsi="Times New Roman"/>
          <w:sz w:val="20"/>
          <w:szCs w:val="24"/>
          <w:u w:val="single"/>
        </w:rPr>
      </w:pPr>
      <w:r>
        <w:rPr>
          <w:rFonts w:ascii="Times New Roman" w:hAnsi="Times New Roman"/>
          <w:sz w:val="20"/>
          <w:szCs w:val="24"/>
        </w:rPr>
        <w:t>Table 5-1 UMa Scenario Simulation assumption</w:t>
      </w:r>
    </w:p>
    <w:tbl>
      <w:tblPr>
        <w:tblStyle w:val="23"/>
        <w:tblW w:w="9339" w:type="dxa"/>
        <w:tblInd w:w="-2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7"/>
        <w:gridCol w:w="4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Carrier frequency</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Subcarrier spacing</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Bandwidth</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40MHz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Description of measurement algorithm</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MUSIC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Description of positioning technique / applied positioning algorithm (e.g. Least square, Taylor series, etc)</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TDOA with Gauss-Newton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Synchronization assumptions</w:t>
            </w:r>
          </w:p>
        </w:tc>
        <w:tc>
          <w:tcPr>
            <w:tcW w:w="4292" w:type="dxa"/>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Perfect synchronization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Precoding assumptions (codebook, etc)</w:t>
            </w:r>
          </w:p>
        </w:tc>
        <w:tc>
          <w:tcPr>
            <w:tcW w:w="4292" w:type="dxa"/>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No precoding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ISD</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BS antenna height</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UE antenna height</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Channel model</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As defined in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Additional notes, if any</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Normal channel</w:t>
            </w:r>
          </w:p>
        </w:tc>
      </w:tr>
    </w:tbl>
    <w:p>
      <w:pPr>
        <w:numPr>
          <w:ilvl w:val="255"/>
          <w:numId w:val="0"/>
        </w:numPr>
        <w:snapToGrid w:val="0"/>
        <w:spacing w:before="180" w:beforeLines="50" w:after="180" w:afterLines="50" w:line="240" w:lineRule="auto"/>
        <w:jc w:val="center"/>
        <w:rPr>
          <w:rFonts w:hint="eastAsia" w:ascii="Times New Roman" w:hAnsi="Times New Roman"/>
          <w:sz w:val="20"/>
          <w:szCs w:val="24"/>
        </w:rPr>
      </w:pPr>
    </w:p>
    <w:p>
      <w:pPr>
        <w:numPr>
          <w:ilvl w:val="255"/>
          <w:numId w:val="0"/>
        </w:numPr>
        <w:snapToGrid w:val="0"/>
        <w:spacing w:before="180" w:beforeLines="50" w:after="180" w:afterLines="50" w:line="240" w:lineRule="auto"/>
        <w:jc w:val="center"/>
        <w:rPr>
          <w:rFonts w:ascii="Times New Roman" w:hAnsi="Times New Roman"/>
          <w:sz w:val="20"/>
          <w:szCs w:val="24"/>
        </w:rPr>
      </w:pPr>
      <w:r>
        <w:rPr>
          <w:rFonts w:ascii="Times New Roman" w:hAnsi="Times New Roman"/>
          <w:sz w:val="20"/>
          <w:szCs w:val="24"/>
        </w:rPr>
        <w:t>Table 5-2 Rma Scenario Simulation assumption</w:t>
      </w:r>
    </w:p>
    <w:tbl>
      <w:tblPr>
        <w:tblStyle w:val="23"/>
        <w:tblW w:w="9339" w:type="dxa"/>
        <w:tblInd w:w="-2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7"/>
        <w:gridCol w:w="4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Carrier frequency</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Subcarrier spacing</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Bandwidth</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Description of positioning technique / applied positioning algorithm (e.g. Least square, Taylor series, etc)</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UL-AOA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Synchronization assumptions</w:t>
            </w:r>
          </w:p>
        </w:tc>
        <w:tc>
          <w:tcPr>
            <w:tcW w:w="4292" w:type="dxa"/>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Perfect synchronization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Precoding assumptions (codebook, etc)</w:t>
            </w:r>
          </w:p>
        </w:tc>
        <w:tc>
          <w:tcPr>
            <w:tcW w:w="4292" w:type="dxa"/>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No precoding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ISD</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1732m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Rx antenna num</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BS antenna height</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35m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UE antenna height</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Channel model</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As defined in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Additional notes, if any</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Normal channel</w:t>
            </w:r>
          </w:p>
        </w:tc>
      </w:tr>
    </w:tbl>
    <w:p>
      <w:pPr>
        <w:numPr>
          <w:ilvl w:val="255"/>
          <w:numId w:val="0"/>
        </w:numPr>
        <w:snapToGrid w:val="0"/>
        <w:spacing w:before="180" w:beforeLines="50" w:after="180" w:afterLines="50"/>
        <w:jc w:val="center"/>
        <w:rPr>
          <w:rFonts w:ascii="Times New Roman" w:hAnsi="Times New Roman"/>
          <w:sz w:val="20"/>
          <w:szCs w:val="24"/>
        </w:rPr>
      </w:pPr>
    </w:p>
    <w:p>
      <w:pPr>
        <w:numPr>
          <w:ilvl w:val="255"/>
          <w:numId w:val="0"/>
        </w:numPr>
        <w:snapToGrid w:val="0"/>
        <w:spacing w:before="180" w:beforeLines="50" w:after="180" w:afterLines="50"/>
        <w:jc w:val="center"/>
        <w:rPr>
          <w:rFonts w:eastAsia="MS PGothic"/>
          <w:sz w:val="20"/>
          <w:szCs w:val="24"/>
        </w:rPr>
      </w:pPr>
      <w:r>
        <w:rPr>
          <w:rFonts w:ascii="Times New Roman" w:hAnsi="Times New Roman"/>
          <w:sz w:val="20"/>
          <w:szCs w:val="24"/>
        </w:rPr>
        <w:t>Table 5-3 Indoor office Scenario Simulation assumption</w:t>
      </w:r>
    </w:p>
    <w:tbl>
      <w:tblPr>
        <w:tblStyle w:val="23"/>
        <w:tblW w:w="9339" w:type="dxa"/>
        <w:tblInd w:w="-2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7"/>
        <w:gridCol w:w="4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Carrier frequency</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Subcarrier spacing</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Bandwidth</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40MHz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Description of measurement algorithm</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MUSIC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Description of positioning technique / applied positioning algorithm (e.g. Least square, Taylor series, etc)</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TDOA with Gauss-Newton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Synchronization assumptions</w:t>
            </w:r>
          </w:p>
        </w:tc>
        <w:tc>
          <w:tcPr>
            <w:tcW w:w="4292" w:type="dxa"/>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Perfect synchronization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Precoding assumptions (codebook, etc)</w:t>
            </w:r>
          </w:p>
        </w:tc>
        <w:tc>
          <w:tcPr>
            <w:tcW w:w="4292" w:type="dxa"/>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No precoding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ISD</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20m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BS num</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BS antenna height</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3m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UE antenna height</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Channel model</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As defined in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Additional notes, if any</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Normal channel</w:t>
            </w:r>
          </w:p>
        </w:tc>
      </w:tr>
    </w:tbl>
    <w:p>
      <w:pPr>
        <w:pStyle w:val="90"/>
        <w:snapToGrid w:val="0"/>
        <w:spacing w:before="180" w:beforeLines="50" w:afterLines="50" w:line="240" w:lineRule="auto"/>
        <w:jc w:val="both"/>
        <w:rPr>
          <w:rFonts w:eastAsia="MS PGothic"/>
          <w:sz w:val="20"/>
        </w:rPr>
      </w:pPr>
    </w:p>
    <w:p>
      <w:pPr>
        <w:numPr>
          <w:ilvl w:val="255"/>
          <w:numId w:val="0"/>
        </w:numPr>
        <w:snapToGrid w:val="0"/>
        <w:spacing w:before="180" w:beforeLines="50" w:after="180" w:afterLines="50"/>
        <w:jc w:val="center"/>
        <w:rPr>
          <w:sz w:val="20"/>
          <w:szCs w:val="24"/>
        </w:rPr>
      </w:pPr>
      <w:r>
        <w:rPr>
          <w:rFonts w:ascii="Times New Roman" w:hAnsi="Times New Roman"/>
          <w:sz w:val="20"/>
          <w:szCs w:val="24"/>
        </w:rPr>
        <w:t xml:space="preserve">Table 5-4 </w:t>
      </w:r>
      <w:r>
        <w:rPr>
          <w:rFonts w:eastAsia="MS PGothic"/>
          <w:sz w:val="20"/>
          <w:szCs w:val="24"/>
        </w:rPr>
        <w:t>Indoor factory SH</w:t>
      </w:r>
      <w:r>
        <w:rPr>
          <w:rFonts w:ascii="Times New Roman" w:hAnsi="Times New Roman"/>
          <w:sz w:val="20"/>
          <w:szCs w:val="24"/>
        </w:rPr>
        <w:t xml:space="preserve"> Scenario Simulation assumption</w:t>
      </w:r>
    </w:p>
    <w:tbl>
      <w:tblPr>
        <w:tblStyle w:val="23"/>
        <w:tblW w:w="9339" w:type="dxa"/>
        <w:tblInd w:w="-2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7"/>
        <w:gridCol w:w="4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Carrier frequency</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Subcarrier spacing</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Bandwidth</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40MHz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Description of measurement algorithm</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MUSIC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Description of positioning technique / applied positioning algorithm (e.g. Least square, Taylor series, etc)</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TDOA with Gauss-Newton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Synchronization assumptions</w:t>
            </w:r>
          </w:p>
        </w:tc>
        <w:tc>
          <w:tcPr>
            <w:tcW w:w="4292" w:type="dxa"/>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Perfect synchronization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Precoding assumptions (codebook, etc)</w:t>
            </w:r>
          </w:p>
        </w:tc>
        <w:tc>
          <w:tcPr>
            <w:tcW w:w="4292" w:type="dxa"/>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No precoding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ISD</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BS num</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BS antenna height</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8m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UE antenna height</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Channel model</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As defined in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47"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Additional notes, if any</w:t>
            </w:r>
          </w:p>
        </w:tc>
        <w:tc>
          <w:tcPr>
            <w:tcW w:w="4292" w:type="dxa"/>
            <w:vAlign w:val="center"/>
          </w:tcPr>
          <w:p>
            <w:pPr>
              <w:widowControl w:val="0"/>
              <w:snapToGrid w:val="0"/>
              <w:spacing w:before="180" w:beforeLines="50" w:after="180" w:afterLines="50" w:line="240" w:lineRule="auto"/>
              <w:jc w:val="center"/>
              <w:rPr>
                <w:rFonts w:ascii="Times New Roman" w:hAnsi="Times New Roman"/>
                <w:kern w:val="2"/>
                <w:sz w:val="20"/>
                <w:szCs w:val="24"/>
              </w:rPr>
            </w:pPr>
            <w:r>
              <w:rPr>
                <w:rFonts w:ascii="Times New Roman" w:hAnsi="Times New Roman"/>
                <w:kern w:val="2"/>
                <w:sz w:val="20"/>
                <w:szCs w:val="24"/>
              </w:rPr>
              <w:t>Normal channel</w:t>
            </w:r>
          </w:p>
        </w:tc>
      </w:tr>
    </w:tbl>
    <w:p>
      <w:pPr>
        <w:widowControl w:val="0"/>
        <w:numPr>
          <w:ilvl w:val="255"/>
          <w:numId w:val="0"/>
        </w:numPr>
        <w:tabs>
          <w:tab w:val="left" w:pos="1260"/>
        </w:tabs>
        <w:snapToGrid w:val="0"/>
        <w:spacing w:before="180" w:beforeLines="50" w:after="180" w:afterLines="50" w:line="240" w:lineRule="auto"/>
        <w:jc w:val="both"/>
        <w:rPr>
          <w:rFonts w:hint="eastAsia" w:ascii="Times New Roman" w:hAnsi="Times New Roman"/>
          <w:sz w:val="20"/>
          <w:szCs w:val="20"/>
          <w:u w:val="single"/>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16</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F7A9F644"/>
    <w:multiLevelType w:val="singleLevel"/>
    <w:tmpl w:val="F7A9F644"/>
    <w:lvl w:ilvl="0" w:tentative="0">
      <w:start w:val="1"/>
      <w:numFmt w:val="bullet"/>
      <w:lvlText w:val=""/>
      <w:lvlJc w:val="left"/>
      <w:pPr>
        <w:tabs>
          <w:tab w:val="left" w:pos="420"/>
        </w:tabs>
        <w:ind w:left="840" w:hanging="420"/>
      </w:pPr>
      <w:rPr>
        <w:rFonts w:hint="default" w:ascii="Wingdings" w:hAnsi="Wingdings"/>
      </w:rPr>
    </w:lvl>
  </w:abstractNum>
  <w:abstractNum w:abstractNumId="2">
    <w:nsid w:val="0A0346E8"/>
    <w:multiLevelType w:val="multilevel"/>
    <w:tmpl w:val="0A0346E8"/>
    <w:lvl w:ilvl="0" w:tentative="0">
      <w:start w:val="1"/>
      <w:numFmt w:val="bullet"/>
      <w:lvlText w:val=""/>
      <w:lvlJc w:val="left"/>
      <w:pPr>
        <w:ind w:left="720" w:hanging="360"/>
      </w:pPr>
      <w:rPr>
        <w:rFonts w:ascii="Symbol" w:hAnsi="Symbol" w:eastAsia="宋体"/>
      </w:rPr>
    </w:lvl>
    <w:lvl w:ilvl="1" w:tentative="0">
      <w:start w:val="1"/>
      <w:numFmt w:val="bullet"/>
      <w:lvlText w:val="o"/>
      <w:lvlJc w:val="left"/>
      <w:pPr>
        <w:ind w:left="1440" w:hanging="360"/>
      </w:pPr>
      <w:rPr>
        <w:rFonts w:ascii="Courier New" w:hAnsi="Courier New" w:eastAsia="宋体"/>
      </w:rPr>
    </w:lvl>
    <w:lvl w:ilvl="2" w:tentative="0">
      <w:start w:val="1"/>
      <w:numFmt w:val="bullet"/>
      <w:lvlText w:val=""/>
      <w:lvlJc w:val="left"/>
      <w:pPr>
        <w:ind w:left="2160" w:hanging="360"/>
      </w:pPr>
      <w:rPr>
        <w:rFonts w:ascii="Wingdings" w:hAnsi="Wingdings" w:eastAsia="宋体"/>
      </w:rPr>
    </w:lvl>
    <w:lvl w:ilvl="3" w:tentative="0">
      <w:start w:val="1"/>
      <w:numFmt w:val="bullet"/>
      <w:lvlText w:val=""/>
      <w:lvlJc w:val="left"/>
      <w:pPr>
        <w:ind w:left="2880" w:hanging="360"/>
      </w:pPr>
      <w:rPr>
        <w:rFonts w:ascii="Symbol" w:hAnsi="Symbol" w:eastAsia="宋体"/>
      </w:rPr>
    </w:lvl>
    <w:lvl w:ilvl="4" w:tentative="0">
      <w:start w:val="1"/>
      <w:numFmt w:val="bullet"/>
      <w:lvlText w:val="o"/>
      <w:lvlJc w:val="left"/>
      <w:pPr>
        <w:ind w:left="3600" w:hanging="360"/>
      </w:pPr>
      <w:rPr>
        <w:rFonts w:ascii="Courier New" w:hAnsi="Courier New" w:eastAsia="宋体"/>
      </w:rPr>
    </w:lvl>
    <w:lvl w:ilvl="5" w:tentative="0">
      <w:start w:val="1"/>
      <w:numFmt w:val="bullet"/>
      <w:lvlText w:val=""/>
      <w:lvlJc w:val="left"/>
      <w:pPr>
        <w:ind w:left="4320" w:hanging="360"/>
      </w:pPr>
      <w:rPr>
        <w:rFonts w:ascii="Wingdings" w:hAnsi="Wingdings" w:eastAsia="宋体"/>
      </w:rPr>
    </w:lvl>
    <w:lvl w:ilvl="6" w:tentative="0">
      <w:start w:val="1"/>
      <w:numFmt w:val="bullet"/>
      <w:lvlText w:val=""/>
      <w:lvlJc w:val="left"/>
      <w:pPr>
        <w:ind w:left="5040" w:hanging="360"/>
      </w:pPr>
      <w:rPr>
        <w:rFonts w:ascii="Symbol" w:hAnsi="Symbol" w:eastAsia="宋体"/>
      </w:rPr>
    </w:lvl>
    <w:lvl w:ilvl="7" w:tentative="0">
      <w:start w:val="1"/>
      <w:numFmt w:val="bullet"/>
      <w:lvlText w:val="o"/>
      <w:lvlJc w:val="left"/>
      <w:pPr>
        <w:ind w:left="5760" w:hanging="360"/>
      </w:pPr>
      <w:rPr>
        <w:rFonts w:ascii="Courier New" w:hAnsi="Courier New" w:eastAsia="宋体"/>
      </w:rPr>
    </w:lvl>
    <w:lvl w:ilvl="8" w:tentative="0">
      <w:start w:val="1"/>
      <w:numFmt w:val="bullet"/>
      <w:lvlText w:val=""/>
      <w:lvlJc w:val="left"/>
      <w:pPr>
        <w:ind w:left="6480" w:hanging="360"/>
      </w:pPr>
      <w:rPr>
        <w:rFonts w:ascii="Wingdings" w:hAnsi="Wingdings" w:eastAsia="宋体"/>
      </w:rPr>
    </w:lvl>
  </w:abstractNum>
  <w:abstractNum w:abstractNumId="3">
    <w:nsid w:val="2EE4D2D2"/>
    <w:multiLevelType w:val="singleLevel"/>
    <w:tmpl w:val="2EE4D2D2"/>
    <w:lvl w:ilvl="0" w:tentative="0">
      <w:start w:val="1"/>
      <w:numFmt w:val="bullet"/>
      <w:lvlText w:val=""/>
      <w:lvlJc w:val="left"/>
      <w:pPr>
        <w:tabs>
          <w:tab w:val="left" w:pos="420"/>
        </w:tabs>
        <w:ind w:left="840" w:hanging="420"/>
      </w:pPr>
      <w:rPr>
        <w:rFonts w:ascii="Wingdings" w:hAnsi="Wingdings" w:eastAsia="宋体"/>
      </w:rPr>
    </w:lvl>
  </w:abstractNum>
  <w:abstractNum w:abstractNumId="4">
    <w:nsid w:val="417F6AFB"/>
    <w:multiLevelType w:val="multilevel"/>
    <w:tmpl w:val="417F6AFB"/>
    <w:lvl w:ilvl="0" w:tentative="0">
      <w:start w:val="1"/>
      <w:numFmt w:val="bullet"/>
      <w:pStyle w:val="8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48991B1A"/>
    <w:multiLevelType w:val="multilevel"/>
    <w:tmpl w:val="48991B1A"/>
    <w:lvl w:ilvl="0" w:tentative="0">
      <w:start w:val="1"/>
      <w:numFmt w:val="bullet"/>
      <w:lvlText w:val=""/>
      <w:lvlJc w:val="left"/>
      <w:pPr>
        <w:ind w:left="840" w:hanging="420"/>
      </w:pPr>
      <w:rPr>
        <w:rFonts w:ascii="Wingdings" w:hAnsi="Wingdings" w:eastAsia="宋体"/>
      </w:rPr>
    </w:lvl>
    <w:lvl w:ilvl="1" w:tentative="0">
      <w:start w:val="1"/>
      <w:numFmt w:val="bullet"/>
      <w:lvlText w:val=""/>
      <w:lvlJc w:val="left"/>
      <w:pPr>
        <w:tabs>
          <w:tab w:val="left" w:pos="1260"/>
        </w:tabs>
        <w:ind w:left="1260" w:hanging="420"/>
      </w:pPr>
      <w:rPr>
        <w:rFonts w:ascii="Wingdings" w:hAnsi="Wingdings" w:eastAsia="宋体"/>
      </w:rPr>
    </w:lvl>
    <w:lvl w:ilvl="2" w:tentative="0">
      <w:start w:val="1"/>
      <w:numFmt w:val="bullet"/>
      <w:lvlText w:val=""/>
      <w:lvlJc w:val="left"/>
      <w:pPr>
        <w:tabs>
          <w:tab w:val="left" w:pos="1680"/>
        </w:tabs>
        <w:ind w:left="1680" w:hanging="420"/>
      </w:pPr>
      <w:rPr>
        <w:rFonts w:ascii="Wingdings" w:hAnsi="Wingdings" w:eastAsia="宋体"/>
      </w:rPr>
    </w:lvl>
    <w:lvl w:ilvl="3" w:tentative="0">
      <w:start w:val="1"/>
      <w:numFmt w:val="bullet"/>
      <w:lvlText w:val=""/>
      <w:lvlJc w:val="left"/>
      <w:pPr>
        <w:tabs>
          <w:tab w:val="left" w:pos="2100"/>
        </w:tabs>
        <w:ind w:left="2100" w:hanging="420"/>
      </w:pPr>
      <w:rPr>
        <w:rFonts w:ascii="Wingdings" w:hAnsi="Wingdings" w:eastAsia="宋体"/>
      </w:rPr>
    </w:lvl>
    <w:lvl w:ilvl="4" w:tentative="0">
      <w:start w:val="1"/>
      <w:numFmt w:val="bullet"/>
      <w:lvlText w:val=""/>
      <w:lvlJc w:val="left"/>
      <w:pPr>
        <w:tabs>
          <w:tab w:val="left" w:pos="2520"/>
        </w:tabs>
        <w:ind w:left="2520" w:hanging="420"/>
      </w:pPr>
      <w:rPr>
        <w:rFonts w:ascii="Wingdings" w:hAnsi="Wingdings" w:eastAsia="宋体"/>
      </w:rPr>
    </w:lvl>
    <w:lvl w:ilvl="5" w:tentative="0">
      <w:start w:val="1"/>
      <w:numFmt w:val="bullet"/>
      <w:lvlText w:val=""/>
      <w:lvlJc w:val="left"/>
      <w:pPr>
        <w:tabs>
          <w:tab w:val="left" w:pos="2940"/>
        </w:tabs>
        <w:ind w:left="2940" w:hanging="420"/>
      </w:pPr>
      <w:rPr>
        <w:rFonts w:ascii="Wingdings" w:hAnsi="Wingdings" w:eastAsia="宋体"/>
      </w:rPr>
    </w:lvl>
    <w:lvl w:ilvl="6" w:tentative="0">
      <w:start w:val="1"/>
      <w:numFmt w:val="bullet"/>
      <w:lvlText w:val=""/>
      <w:lvlJc w:val="left"/>
      <w:pPr>
        <w:tabs>
          <w:tab w:val="left" w:pos="3360"/>
        </w:tabs>
        <w:ind w:left="3360" w:hanging="420"/>
      </w:pPr>
      <w:rPr>
        <w:rFonts w:ascii="Wingdings" w:hAnsi="Wingdings" w:eastAsia="宋体"/>
      </w:rPr>
    </w:lvl>
    <w:lvl w:ilvl="7" w:tentative="0">
      <w:start w:val="1"/>
      <w:numFmt w:val="bullet"/>
      <w:lvlText w:val=""/>
      <w:lvlJc w:val="left"/>
      <w:pPr>
        <w:tabs>
          <w:tab w:val="left" w:pos="3780"/>
        </w:tabs>
        <w:ind w:left="3780" w:hanging="420"/>
      </w:pPr>
      <w:rPr>
        <w:rFonts w:ascii="Wingdings" w:hAnsi="Wingdings" w:eastAsia="宋体"/>
      </w:rPr>
    </w:lvl>
    <w:lvl w:ilvl="8" w:tentative="0">
      <w:start w:val="1"/>
      <w:numFmt w:val="bullet"/>
      <w:lvlText w:val=""/>
      <w:lvlJc w:val="left"/>
      <w:pPr>
        <w:tabs>
          <w:tab w:val="left" w:pos="4200"/>
        </w:tabs>
        <w:ind w:left="4200" w:hanging="420"/>
      </w:pPr>
      <w:rPr>
        <w:rFonts w:ascii="Wingdings" w:hAnsi="Wingdings" w:eastAsia="宋体"/>
      </w:rPr>
    </w:lvl>
  </w:abstractNum>
  <w:abstractNum w:abstractNumId="6">
    <w:nsid w:val="48B1968D"/>
    <w:multiLevelType w:val="singleLevel"/>
    <w:tmpl w:val="48B1968D"/>
    <w:lvl w:ilvl="0" w:tentative="0">
      <w:start w:val="1"/>
      <w:numFmt w:val="bullet"/>
      <w:lvlText w:val=""/>
      <w:lvlJc w:val="left"/>
      <w:pPr>
        <w:ind w:left="420" w:hanging="420"/>
      </w:pPr>
      <w:rPr>
        <w:rFonts w:ascii="Wingdings" w:hAnsi="Wingdings" w:eastAsia="宋体"/>
      </w:rPr>
    </w:lvl>
  </w:abstractNum>
  <w:abstractNum w:abstractNumId="7">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8">
    <w:nsid w:val="5E42F46F"/>
    <w:multiLevelType w:val="singleLevel"/>
    <w:tmpl w:val="5E42F46F"/>
    <w:lvl w:ilvl="0" w:tentative="0">
      <w:start w:val="1"/>
      <w:numFmt w:val="bullet"/>
      <w:lvlText w:val=""/>
      <w:lvlJc w:val="left"/>
      <w:pPr>
        <w:tabs>
          <w:tab w:val="left" w:pos="420"/>
        </w:tabs>
        <w:ind w:left="840" w:hanging="420"/>
      </w:pPr>
      <w:rPr>
        <w:rFonts w:ascii="Wingdings" w:hAnsi="Wingdings" w:eastAsia="宋体"/>
      </w:rPr>
    </w:lvl>
  </w:abstractNum>
  <w:abstractNum w:abstractNumId="9">
    <w:nsid w:val="6DD43198"/>
    <w:multiLevelType w:val="multilevel"/>
    <w:tmpl w:val="6DD43198"/>
    <w:lvl w:ilvl="0" w:tentative="0">
      <w:start w:val="1"/>
      <w:numFmt w:val="bullet"/>
      <w:lvlText w:val=""/>
      <w:lvlJc w:val="left"/>
      <w:pPr>
        <w:ind w:left="420" w:hanging="420"/>
      </w:pPr>
      <w:rPr>
        <w:rFonts w:ascii="Wingdings" w:hAnsi="Wingdings" w:eastAsia="宋体"/>
      </w:rPr>
    </w:lvl>
    <w:lvl w:ilvl="1" w:tentative="0">
      <w:start w:val="1"/>
      <w:numFmt w:val="bullet"/>
      <w:lvlText w:val=""/>
      <w:lvlJc w:val="left"/>
      <w:pPr>
        <w:tabs>
          <w:tab w:val="left" w:pos="840"/>
        </w:tabs>
        <w:ind w:left="840" w:hanging="420"/>
      </w:pPr>
      <w:rPr>
        <w:rFonts w:ascii="Wingdings" w:hAnsi="Wingdings" w:eastAsia="宋体"/>
      </w:rPr>
    </w:lvl>
    <w:lvl w:ilvl="2" w:tentative="0">
      <w:start w:val="1"/>
      <w:numFmt w:val="bullet"/>
      <w:lvlText w:val=""/>
      <w:lvlJc w:val="left"/>
      <w:pPr>
        <w:tabs>
          <w:tab w:val="left" w:pos="1260"/>
        </w:tabs>
        <w:ind w:left="1260" w:hanging="420"/>
      </w:pPr>
      <w:rPr>
        <w:rFonts w:ascii="Wingdings" w:hAnsi="Wingdings" w:eastAsia="宋体"/>
      </w:rPr>
    </w:lvl>
    <w:lvl w:ilvl="3" w:tentative="0">
      <w:start w:val="1"/>
      <w:numFmt w:val="bullet"/>
      <w:lvlText w:val=""/>
      <w:lvlJc w:val="left"/>
      <w:pPr>
        <w:tabs>
          <w:tab w:val="left" w:pos="1680"/>
        </w:tabs>
        <w:ind w:left="1680" w:hanging="420"/>
      </w:pPr>
      <w:rPr>
        <w:rFonts w:ascii="Wingdings" w:hAnsi="Wingdings" w:eastAsia="宋体"/>
      </w:rPr>
    </w:lvl>
    <w:lvl w:ilvl="4" w:tentative="0">
      <w:start w:val="1"/>
      <w:numFmt w:val="bullet"/>
      <w:lvlText w:val=""/>
      <w:lvlJc w:val="left"/>
      <w:pPr>
        <w:tabs>
          <w:tab w:val="left" w:pos="2100"/>
        </w:tabs>
        <w:ind w:left="2100" w:hanging="420"/>
      </w:pPr>
      <w:rPr>
        <w:rFonts w:ascii="Wingdings" w:hAnsi="Wingdings" w:eastAsia="宋体"/>
      </w:rPr>
    </w:lvl>
    <w:lvl w:ilvl="5" w:tentative="0">
      <w:start w:val="1"/>
      <w:numFmt w:val="bullet"/>
      <w:lvlText w:val=""/>
      <w:lvlJc w:val="left"/>
      <w:pPr>
        <w:tabs>
          <w:tab w:val="left" w:pos="2520"/>
        </w:tabs>
        <w:ind w:left="2520" w:hanging="420"/>
      </w:pPr>
      <w:rPr>
        <w:rFonts w:ascii="Wingdings" w:hAnsi="Wingdings" w:eastAsia="宋体"/>
      </w:rPr>
    </w:lvl>
    <w:lvl w:ilvl="6" w:tentative="0">
      <w:start w:val="1"/>
      <w:numFmt w:val="bullet"/>
      <w:lvlText w:val=""/>
      <w:lvlJc w:val="left"/>
      <w:pPr>
        <w:tabs>
          <w:tab w:val="left" w:pos="2940"/>
        </w:tabs>
        <w:ind w:left="2940" w:hanging="420"/>
      </w:pPr>
      <w:rPr>
        <w:rFonts w:ascii="Wingdings" w:hAnsi="Wingdings" w:eastAsia="宋体"/>
      </w:rPr>
    </w:lvl>
    <w:lvl w:ilvl="7" w:tentative="0">
      <w:start w:val="1"/>
      <w:numFmt w:val="bullet"/>
      <w:lvlText w:val=""/>
      <w:lvlJc w:val="left"/>
      <w:pPr>
        <w:tabs>
          <w:tab w:val="left" w:pos="3360"/>
        </w:tabs>
        <w:ind w:left="3360" w:hanging="420"/>
      </w:pPr>
      <w:rPr>
        <w:rFonts w:ascii="Wingdings" w:hAnsi="Wingdings" w:eastAsia="宋体"/>
      </w:rPr>
    </w:lvl>
    <w:lvl w:ilvl="8" w:tentative="0">
      <w:start w:val="1"/>
      <w:numFmt w:val="bullet"/>
      <w:lvlText w:val=""/>
      <w:lvlJc w:val="left"/>
      <w:pPr>
        <w:tabs>
          <w:tab w:val="left" w:pos="3780"/>
        </w:tabs>
        <w:ind w:left="3780" w:hanging="420"/>
      </w:pPr>
      <w:rPr>
        <w:rFonts w:ascii="Wingdings" w:hAnsi="Wingdings" w:eastAsia="宋体"/>
      </w:rPr>
    </w:lvl>
  </w:abstractNum>
  <w:abstractNum w:abstractNumId="10">
    <w:nsid w:val="7AC70A17"/>
    <w:multiLevelType w:val="multilevel"/>
    <w:tmpl w:val="7AC70A17"/>
    <w:lvl w:ilvl="0" w:tentative="0">
      <w:start w:val="1"/>
      <w:numFmt w:val="bullet"/>
      <w:lvlText w:val=""/>
      <w:lvlJc w:val="left"/>
      <w:pPr>
        <w:ind w:left="720" w:hanging="360"/>
      </w:pPr>
      <w:rPr>
        <w:rFonts w:ascii="Symbol" w:hAnsi="Symbol" w:eastAsia="宋体"/>
      </w:rPr>
    </w:lvl>
    <w:lvl w:ilvl="1" w:tentative="0">
      <w:start w:val="1"/>
      <w:numFmt w:val="bullet"/>
      <w:lvlText w:val="o"/>
      <w:lvlJc w:val="left"/>
      <w:pPr>
        <w:ind w:left="1440" w:hanging="360"/>
      </w:pPr>
      <w:rPr>
        <w:rFonts w:ascii="Courier New" w:hAnsi="Courier New" w:eastAsia="宋体"/>
      </w:rPr>
    </w:lvl>
    <w:lvl w:ilvl="2" w:tentative="0">
      <w:start w:val="1"/>
      <w:numFmt w:val="bullet"/>
      <w:lvlText w:val=""/>
      <w:lvlJc w:val="left"/>
      <w:pPr>
        <w:ind w:left="2160" w:hanging="360"/>
      </w:pPr>
      <w:rPr>
        <w:rFonts w:ascii="Wingdings" w:hAnsi="Wingdings" w:eastAsia="宋体"/>
      </w:rPr>
    </w:lvl>
    <w:lvl w:ilvl="3" w:tentative="0">
      <w:start w:val="1"/>
      <w:numFmt w:val="bullet"/>
      <w:lvlText w:val=""/>
      <w:lvlJc w:val="left"/>
      <w:pPr>
        <w:ind w:left="2880" w:hanging="360"/>
      </w:pPr>
      <w:rPr>
        <w:rFonts w:ascii="Symbol" w:hAnsi="Symbol" w:eastAsia="宋体"/>
      </w:rPr>
    </w:lvl>
    <w:lvl w:ilvl="4" w:tentative="0">
      <w:start w:val="1"/>
      <w:numFmt w:val="bullet"/>
      <w:lvlText w:val="o"/>
      <w:lvlJc w:val="left"/>
      <w:pPr>
        <w:ind w:left="3600" w:hanging="360"/>
      </w:pPr>
      <w:rPr>
        <w:rFonts w:ascii="Courier New" w:hAnsi="Courier New" w:eastAsia="宋体"/>
      </w:rPr>
    </w:lvl>
    <w:lvl w:ilvl="5" w:tentative="0">
      <w:start w:val="1"/>
      <w:numFmt w:val="bullet"/>
      <w:lvlText w:val=""/>
      <w:lvlJc w:val="left"/>
      <w:pPr>
        <w:ind w:left="4320" w:hanging="360"/>
      </w:pPr>
      <w:rPr>
        <w:rFonts w:ascii="Wingdings" w:hAnsi="Wingdings" w:eastAsia="宋体"/>
      </w:rPr>
    </w:lvl>
    <w:lvl w:ilvl="6" w:tentative="0">
      <w:start w:val="1"/>
      <w:numFmt w:val="bullet"/>
      <w:lvlText w:val=""/>
      <w:lvlJc w:val="left"/>
      <w:pPr>
        <w:ind w:left="5040" w:hanging="360"/>
      </w:pPr>
      <w:rPr>
        <w:rFonts w:ascii="Symbol" w:hAnsi="Symbol" w:eastAsia="宋体"/>
      </w:rPr>
    </w:lvl>
    <w:lvl w:ilvl="7" w:tentative="0">
      <w:start w:val="1"/>
      <w:numFmt w:val="bullet"/>
      <w:lvlText w:val="o"/>
      <w:lvlJc w:val="left"/>
      <w:pPr>
        <w:ind w:left="5760" w:hanging="360"/>
      </w:pPr>
      <w:rPr>
        <w:rFonts w:ascii="Courier New" w:hAnsi="Courier New" w:eastAsia="宋体"/>
      </w:rPr>
    </w:lvl>
    <w:lvl w:ilvl="8" w:tentative="0">
      <w:start w:val="1"/>
      <w:numFmt w:val="bullet"/>
      <w:lvlText w:val=""/>
      <w:lvlJc w:val="left"/>
      <w:pPr>
        <w:ind w:left="6480" w:hanging="360"/>
      </w:pPr>
      <w:rPr>
        <w:rFonts w:ascii="Wingdings" w:hAnsi="Wingdings" w:eastAsia="宋体"/>
      </w:rPr>
    </w:lvl>
  </w:abstractNum>
  <w:num w:numId="1">
    <w:abstractNumId w:val="7"/>
  </w:num>
  <w:num w:numId="2">
    <w:abstractNumId w:val="4"/>
  </w:num>
  <w:num w:numId="3">
    <w:abstractNumId w:val="10"/>
  </w:num>
  <w:num w:numId="4">
    <w:abstractNumId w:val="2"/>
  </w:num>
  <w:num w:numId="5">
    <w:abstractNumId w:val="5"/>
  </w:num>
  <w:num w:numId="6">
    <w:abstractNumId w:val="8"/>
  </w:num>
  <w:num w:numId="7">
    <w:abstractNumId w:val="3"/>
  </w:num>
  <w:num w:numId="8">
    <w:abstractNumId w:val="1"/>
  </w:num>
  <w:num w:numId="9">
    <w:abstractNumId w:val="6"/>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587"/>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585"/>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219"/>
    <w:rsid w:val="00070445"/>
    <w:rsid w:val="000705EC"/>
    <w:rsid w:val="0007090B"/>
    <w:rsid w:val="00070F20"/>
    <w:rsid w:val="000710C4"/>
    <w:rsid w:val="000710D2"/>
    <w:rsid w:val="000712C9"/>
    <w:rsid w:val="0007140C"/>
    <w:rsid w:val="000715A8"/>
    <w:rsid w:val="00071CF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483"/>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3204"/>
    <w:rsid w:val="000A3285"/>
    <w:rsid w:val="000A32A0"/>
    <w:rsid w:val="000A3B96"/>
    <w:rsid w:val="000A4165"/>
    <w:rsid w:val="000A4466"/>
    <w:rsid w:val="000A448B"/>
    <w:rsid w:val="000A454C"/>
    <w:rsid w:val="000A4AD9"/>
    <w:rsid w:val="000A4F00"/>
    <w:rsid w:val="000A4F0B"/>
    <w:rsid w:val="000A4FE3"/>
    <w:rsid w:val="000A5024"/>
    <w:rsid w:val="000A5285"/>
    <w:rsid w:val="000A52CA"/>
    <w:rsid w:val="000A5747"/>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18"/>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8B7"/>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3DCD"/>
    <w:rsid w:val="000F43B9"/>
    <w:rsid w:val="000F46E6"/>
    <w:rsid w:val="000F4AA2"/>
    <w:rsid w:val="000F4AF4"/>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6A8"/>
    <w:rsid w:val="00153774"/>
    <w:rsid w:val="00154568"/>
    <w:rsid w:val="001545E9"/>
    <w:rsid w:val="00154751"/>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913"/>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3EC0"/>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061"/>
    <w:rsid w:val="001F61CF"/>
    <w:rsid w:val="001F642F"/>
    <w:rsid w:val="001F6445"/>
    <w:rsid w:val="001F662A"/>
    <w:rsid w:val="001F6953"/>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6C3"/>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1FC1"/>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496"/>
    <w:rsid w:val="00257665"/>
    <w:rsid w:val="002577F6"/>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409"/>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47"/>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1DC"/>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29"/>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C7E"/>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32"/>
    <w:rsid w:val="002F4EA5"/>
    <w:rsid w:val="002F522A"/>
    <w:rsid w:val="002F53BF"/>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DFD"/>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8BC"/>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CFB"/>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24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A49"/>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2C14"/>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8E"/>
    <w:rsid w:val="004064AE"/>
    <w:rsid w:val="00406675"/>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2F8"/>
    <w:rsid w:val="004245B2"/>
    <w:rsid w:val="00424C81"/>
    <w:rsid w:val="00424D1C"/>
    <w:rsid w:val="004252BF"/>
    <w:rsid w:val="00425373"/>
    <w:rsid w:val="004253AE"/>
    <w:rsid w:val="004254F7"/>
    <w:rsid w:val="0042553B"/>
    <w:rsid w:val="0042589E"/>
    <w:rsid w:val="00426022"/>
    <w:rsid w:val="004264CE"/>
    <w:rsid w:val="0042655E"/>
    <w:rsid w:val="004266D9"/>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0C"/>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9A7"/>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67"/>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AFF"/>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534"/>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67"/>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65A"/>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FD0"/>
    <w:rsid w:val="004C20BB"/>
    <w:rsid w:val="004C24FE"/>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DB6"/>
    <w:rsid w:val="004D5EDD"/>
    <w:rsid w:val="004D6111"/>
    <w:rsid w:val="004D66C1"/>
    <w:rsid w:val="004D68B6"/>
    <w:rsid w:val="004D6988"/>
    <w:rsid w:val="004D6CEF"/>
    <w:rsid w:val="004D6F5C"/>
    <w:rsid w:val="004D6F9C"/>
    <w:rsid w:val="004D73BE"/>
    <w:rsid w:val="004D75B2"/>
    <w:rsid w:val="004D7739"/>
    <w:rsid w:val="004D7C14"/>
    <w:rsid w:val="004D7E89"/>
    <w:rsid w:val="004E0554"/>
    <w:rsid w:val="004E0791"/>
    <w:rsid w:val="004E097A"/>
    <w:rsid w:val="004E09CD"/>
    <w:rsid w:val="004E20DB"/>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0B"/>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90"/>
    <w:rsid w:val="005368C6"/>
    <w:rsid w:val="005369D0"/>
    <w:rsid w:val="005369FC"/>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92"/>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828"/>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11A"/>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6D48"/>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72A"/>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50C3"/>
    <w:rsid w:val="00635253"/>
    <w:rsid w:val="0063587F"/>
    <w:rsid w:val="006359FC"/>
    <w:rsid w:val="00635A6B"/>
    <w:rsid w:val="00635D9E"/>
    <w:rsid w:val="00635E74"/>
    <w:rsid w:val="00635EFB"/>
    <w:rsid w:val="00636345"/>
    <w:rsid w:val="006369EE"/>
    <w:rsid w:val="00636AF5"/>
    <w:rsid w:val="00636CB8"/>
    <w:rsid w:val="00636CD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B96"/>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4"/>
    <w:rsid w:val="00663958"/>
    <w:rsid w:val="00664045"/>
    <w:rsid w:val="00664173"/>
    <w:rsid w:val="00664DE7"/>
    <w:rsid w:val="00665869"/>
    <w:rsid w:val="00665C0E"/>
    <w:rsid w:val="00665EDD"/>
    <w:rsid w:val="00665FD1"/>
    <w:rsid w:val="00666295"/>
    <w:rsid w:val="00666699"/>
    <w:rsid w:val="006671E4"/>
    <w:rsid w:val="006671EC"/>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C84"/>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25"/>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903"/>
    <w:rsid w:val="006F4C6B"/>
    <w:rsid w:val="006F4DE4"/>
    <w:rsid w:val="006F53AC"/>
    <w:rsid w:val="006F53F8"/>
    <w:rsid w:val="006F59B7"/>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90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320"/>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682"/>
    <w:rsid w:val="0076775E"/>
    <w:rsid w:val="00767830"/>
    <w:rsid w:val="007679BA"/>
    <w:rsid w:val="007679D1"/>
    <w:rsid w:val="00767B5C"/>
    <w:rsid w:val="00767B68"/>
    <w:rsid w:val="00767D54"/>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1A"/>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9BE"/>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16B"/>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3F"/>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EC5"/>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700"/>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688"/>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82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DF7"/>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C"/>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0C6"/>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77E2C"/>
    <w:rsid w:val="008800DA"/>
    <w:rsid w:val="008801A7"/>
    <w:rsid w:val="008801DD"/>
    <w:rsid w:val="0088065A"/>
    <w:rsid w:val="00880793"/>
    <w:rsid w:val="008809D8"/>
    <w:rsid w:val="00881049"/>
    <w:rsid w:val="008811F4"/>
    <w:rsid w:val="008815EB"/>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1A"/>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57B"/>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EAD"/>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85"/>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E30"/>
    <w:rsid w:val="00957FD3"/>
    <w:rsid w:val="009601C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B77"/>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DA3"/>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97C"/>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193C"/>
    <w:rsid w:val="009A209D"/>
    <w:rsid w:val="009A2116"/>
    <w:rsid w:val="009A22B7"/>
    <w:rsid w:val="009A232F"/>
    <w:rsid w:val="009A2EB4"/>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6D3"/>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332"/>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B77"/>
    <w:rsid w:val="00A66C40"/>
    <w:rsid w:val="00A67056"/>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49"/>
    <w:rsid w:val="00A87894"/>
    <w:rsid w:val="00A87A71"/>
    <w:rsid w:val="00A87BD5"/>
    <w:rsid w:val="00A87F9E"/>
    <w:rsid w:val="00A90106"/>
    <w:rsid w:val="00A9016A"/>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A36"/>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847"/>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0FA0"/>
    <w:rsid w:val="00B016B6"/>
    <w:rsid w:val="00B01A1D"/>
    <w:rsid w:val="00B01EC0"/>
    <w:rsid w:val="00B0203F"/>
    <w:rsid w:val="00B02119"/>
    <w:rsid w:val="00B023A6"/>
    <w:rsid w:val="00B025F8"/>
    <w:rsid w:val="00B028BC"/>
    <w:rsid w:val="00B02EBB"/>
    <w:rsid w:val="00B0301B"/>
    <w:rsid w:val="00B03158"/>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5B16"/>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4A9"/>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BCE"/>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491"/>
    <w:rsid w:val="00B815B7"/>
    <w:rsid w:val="00B8162A"/>
    <w:rsid w:val="00B816F2"/>
    <w:rsid w:val="00B81A85"/>
    <w:rsid w:val="00B81DFD"/>
    <w:rsid w:val="00B824C3"/>
    <w:rsid w:val="00B82A80"/>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762"/>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498"/>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E9C"/>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2E"/>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45E"/>
    <w:rsid w:val="00CC5F6D"/>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4E"/>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1E8"/>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40"/>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230"/>
    <w:rsid w:val="00D235E8"/>
    <w:rsid w:val="00D23969"/>
    <w:rsid w:val="00D239C5"/>
    <w:rsid w:val="00D23BC4"/>
    <w:rsid w:val="00D2419D"/>
    <w:rsid w:val="00D241AE"/>
    <w:rsid w:val="00D24269"/>
    <w:rsid w:val="00D24464"/>
    <w:rsid w:val="00D246E4"/>
    <w:rsid w:val="00D24ABE"/>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289"/>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560"/>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89D"/>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3FF"/>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BAF"/>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1C5"/>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2B5"/>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4D5"/>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873"/>
    <w:rsid w:val="00E32972"/>
    <w:rsid w:val="00E32A2B"/>
    <w:rsid w:val="00E32BAE"/>
    <w:rsid w:val="00E32DA4"/>
    <w:rsid w:val="00E32F9C"/>
    <w:rsid w:val="00E32FC1"/>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9EC"/>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35"/>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D6C"/>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98E"/>
    <w:rsid w:val="00ED0A32"/>
    <w:rsid w:val="00ED0A45"/>
    <w:rsid w:val="00ED1047"/>
    <w:rsid w:val="00ED1298"/>
    <w:rsid w:val="00ED13EA"/>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1F0"/>
    <w:rsid w:val="00F152A1"/>
    <w:rsid w:val="00F1568F"/>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68A"/>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6F81"/>
    <w:rsid w:val="00F471E1"/>
    <w:rsid w:val="00F473D5"/>
    <w:rsid w:val="00F47471"/>
    <w:rsid w:val="00F474A1"/>
    <w:rsid w:val="00F474EF"/>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AD2"/>
    <w:rsid w:val="00F72B7A"/>
    <w:rsid w:val="00F73075"/>
    <w:rsid w:val="00F73461"/>
    <w:rsid w:val="00F73475"/>
    <w:rsid w:val="00F73902"/>
    <w:rsid w:val="00F73B5F"/>
    <w:rsid w:val="00F73C1C"/>
    <w:rsid w:val="00F73F2D"/>
    <w:rsid w:val="00F73FAF"/>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3DE"/>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984"/>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D7F93"/>
    <w:rsid w:val="00FE040A"/>
    <w:rsid w:val="00FE048C"/>
    <w:rsid w:val="00FE05B4"/>
    <w:rsid w:val="00FE05E7"/>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3EB"/>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D2583"/>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10D92"/>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AE41ED"/>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CD2D63"/>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47D6"/>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D1C26"/>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D5A61"/>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12587"/>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5622B"/>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157F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2523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1C87"/>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5D3E14"/>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414DA"/>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10CA6"/>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838DB"/>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1EAE"/>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73495"/>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20F4"/>
    <w:rsid w:val="240F66A9"/>
    <w:rsid w:val="24107D2B"/>
    <w:rsid w:val="241157A7"/>
    <w:rsid w:val="24191D8F"/>
    <w:rsid w:val="241A0D14"/>
    <w:rsid w:val="242148AF"/>
    <w:rsid w:val="24373F32"/>
    <w:rsid w:val="24444FD4"/>
    <w:rsid w:val="24464871"/>
    <w:rsid w:val="244A34E7"/>
    <w:rsid w:val="244B3B7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A721F"/>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694713"/>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14B74"/>
    <w:rsid w:val="272201E2"/>
    <w:rsid w:val="27261FD2"/>
    <w:rsid w:val="272E2378"/>
    <w:rsid w:val="27321F5C"/>
    <w:rsid w:val="273C76EB"/>
    <w:rsid w:val="273E15AB"/>
    <w:rsid w:val="274159F7"/>
    <w:rsid w:val="27492EA8"/>
    <w:rsid w:val="274B09CE"/>
    <w:rsid w:val="2751576D"/>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34705"/>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72B6C"/>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EC46CC"/>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AD23B0"/>
    <w:rsid w:val="2BB259E6"/>
    <w:rsid w:val="2BC636A5"/>
    <w:rsid w:val="2BCA539C"/>
    <w:rsid w:val="2BD3485D"/>
    <w:rsid w:val="2BEA572B"/>
    <w:rsid w:val="2BEF1332"/>
    <w:rsid w:val="2BF37482"/>
    <w:rsid w:val="2BF72D89"/>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17833"/>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4D52D5"/>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73865"/>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263C5"/>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35BD3"/>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049E1"/>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50D92"/>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70612"/>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A34F5"/>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240F3"/>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17E3C"/>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52935"/>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95470"/>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63903"/>
    <w:rsid w:val="42C92A69"/>
    <w:rsid w:val="42C96A82"/>
    <w:rsid w:val="42CF6EF1"/>
    <w:rsid w:val="42D604C8"/>
    <w:rsid w:val="42D72C00"/>
    <w:rsid w:val="42DF35C8"/>
    <w:rsid w:val="42E9081C"/>
    <w:rsid w:val="42EE0EAA"/>
    <w:rsid w:val="42EF0CCD"/>
    <w:rsid w:val="42F1490F"/>
    <w:rsid w:val="42F25520"/>
    <w:rsid w:val="42F42A47"/>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830AD"/>
    <w:rsid w:val="43C05A98"/>
    <w:rsid w:val="43C211B7"/>
    <w:rsid w:val="43C86C83"/>
    <w:rsid w:val="43C95ED6"/>
    <w:rsid w:val="43D34204"/>
    <w:rsid w:val="43DD04DA"/>
    <w:rsid w:val="43E232E1"/>
    <w:rsid w:val="43E567A6"/>
    <w:rsid w:val="43F84F4E"/>
    <w:rsid w:val="43FF5CEF"/>
    <w:rsid w:val="44064267"/>
    <w:rsid w:val="440A5B01"/>
    <w:rsid w:val="440F759F"/>
    <w:rsid w:val="44124AB7"/>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96BD1"/>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0E0F88"/>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0435C"/>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2139C7"/>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81BA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D57C36"/>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0422D"/>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012E2"/>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27D31"/>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898"/>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4F80056"/>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75EFA"/>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5808"/>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D6129"/>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137CC"/>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027E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4635"/>
    <w:rsid w:val="67496F8C"/>
    <w:rsid w:val="674B0C95"/>
    <w:rsid w:val="675327AE"/>
    <w:rsid w:val="6754488A"/>
    <w:rsid w:val="67556196"/>
    <w:rsid w:val="675B6E55"/>
    <w:rsid w:val="675E5A16"/>
    <w:rsid w:val="675F562E"/>
    <w:rsid w:val="67636AE2"/>
    <w:rsid w:val="676829CD"/>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1F32ED"/>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10F90"/>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00A5"/>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53939"/>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13586"/>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EA7343"/>
    <w:rsid w:val="73FA0DAA"/>
    <w:rsid w:val="73FF104A"/>
    <w:rsid w:val="740A122A"/>
    <w:rsid w:val="740A13D9"/>
    <w:rsid w:val="740D2E53"/>
    <w:rsid w:val="74140D2F"/>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6499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822C7"/>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694AEF"/>
    <w:rsid w:val="7B7501AD"/>
    <w:rsid w:val="7B78034A"/>
    <w:rsid w:val="7B8D7752"/>
    <w:rsid w:val="7B8E37DE"/>
    <w:rsid w:val="7B8F47C7"/>
    <w:rsid w:val="7B914B96"/>
    <w:rsid w:val="7B927B14"/>
    <w:rsid w:val="7B946891"/>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17623"/>
    <w:rsid w:val="7FEA56BA"/>
    <w:rsid w:val="7FF3557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1"/>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1"/>
    <w:qFormat/>
    <w:uiPriority w:val="0"/>
    <w:pPr>
      <w:keepNext/>
      <w:keepLines/>
      <w:spacing w:before="260" w:after="260" w:line="416" w:lineRule="auto"/>
      <w:outlineLvl w:val="1"/>
    </w:pPr>
    <w:rPr>
      <w:rFonts w:ascii="Cambria" w:hAnsi="Cambria"/>
      <w:sz w:val="32"/>
      <w:szCs w:val="32"/>
    </w:rPr>
  </w:style>
  <w:style w:type="paragraph" w:styleId="4">
    <w:name w:val="heading 3"/>
    <w:basedOn w:val="1"/>
    <w:next w:val="1"/>
    <w:link w:val="42"/>
    <w:unhideWhenUsed/>
    <w:qFormat/>
    <w:uiPriority w:val="9"/>
    <w:pPr>
      <w:outlineLvl w:val="2"/>
    </w:pPr>
  </w:style>
  <w:style w:type="paragraph" w:styleId="5">
    <w:name w:val="heading 4"/>
    <w:basedOn w:val="1"/>
    <w:next w:val="1"/>
    <w:link w:val="61"/>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2"/>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8"/>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6"/>
    <w:unhideWhenUsed/>
    <w:qFormat/>
    <w:uiPriority w:val="99"/>
    <w:rPr>
      <w:rFonts w:ascii="宋体"/>
      <w:sz w:val="18"/>
      <w:szCs w:val="18"/>
    </w:rPr>
  </w:style>
  <w:style w:type="paragraph" w:styleId="11">
    <w:name w:val="annotation text"/>
    <w:basedOn w:val="1"/>
    <w:link w:val="34"/>
    <w:unhideWhenUsed/>
    <w:qFormat/>
    <w:uiPriority w:val="99"/>
    <w:rPr>
      <w:sz w:val="20"/>
      <w:szCs w:val="20"/>
    </w:rPr>
  </w:style>
  <w:style w:type="paragraph" w:styleId="12">
    <w:name w:val="Body Text"/>
    <w:basedOn w:val="1"/>
    <w:link w:val="37"/>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9"/>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5"/>
    <w:unhideWhenUsed/>
    <w:qFormat/>
    <w:uiPriority w:val="99"/>
    <w:pPr>
      <w:spacing w:after="0" w:line="240" w:lineRule="auto"/>
    </w:pPr>
    <w:rPr>
      <w:rFonts w:eastAsia="Calibri"/>
      <w:szCs w:val="21"/>
      <w:lang w:val="en-GB" w:eastAsia="en-US"/>
    </w:rPr>
  </w:style>
  <w:style w:type="paragraph" w:styleId="17">
    <w:name w:val="Date"/>
    <w:basedOn w:val="1"/>
    <w:next w:val="1"/>
    <w:link w:val="49"/>
    <w:unhideWhenUsed/>
    <w:qFormat/>
    <w:uiPriority w:val="99"/>
    <w:pPr>
      <w:ind w:left="100" w:leftChars="2500"/>
    </w:pPr>
  </w:style>
  <w:style w:type="paragraph" w:styleId="18">
    <w:name w:val="Balloon Text"/>
    <w:basedOn w:val="1"/>
    <w:link w:val="30"/>
    <w:unhideWhenUsed/>
    <w:qFormat/>
    <w:uiPriority w:val="99"/>
    <w:pPr>
      <w:spacing w:after="0" w:line="240" w:lineRule="auto"/>
    </w:pPr>
    <w:rPr>
      <w:rFonts w:ascii="Tahoma" w:hAnsi="Tahoma"/>
      <w:sz w:val="16"/>
      <w:szCs w:val="16"/>
    </w:rPr>
  </w:style>
  <w:style w:type="paragraph" w:styleId="19">
    <w:name w:val="footer"/>
    <w:basedOn w:val="1"/>
    <w:link w:val="40"/>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2"/>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5"/>
    <w:unhideWhenUsed/>
    <w:qFormat/>
    <w:uiPriority w:val="99"/>
    <w:rPr>
      <w:b/>
      <w:bCs/>
    </w:rPr>
  </w:style>
  <w:style w:type="table" w:styleId="24">
    <w:name w:val="Table Grid"/>
    <w:basedOn w:val="2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basedOn w:val="25"/>
    <w:qFormat/>
    <w:uiPriority w:val="22"/>
    <w:rPr>
      <w:b/>
      <w:bCs/>
    </w:rPr>
  </w:style>
  <w:style w:type="character" w:styleId="27">
    <w:name w:val="page number"/>
    <w:basedOn w:val="25"/>
    <w:unhideWhenUsed/>
    <w:qFormat/>
    <w:uiPriority w:val="99"/>
    <w:rPr>
      <w:rFonts w:hint="default"/>
      <w:sz w:val="24"/>
    </w:rPr>
  </w:style>
  <w:style w:type="character" w:styleId="28">
    <w:name w:val="Hyperlink"/>
    <w:unhideWhenUsed/>
    <w:qFormat/>
    <w:uiPriority w:val="99"/>
    <w:rPr>
      <w:color w:val="0000FF"/>
      <w:u w:val="single"/>
    </w:rPr>
  </w:style>
  <w:style w:type="character" w:styleId="29">
    <w:name w:val="annotation reference"/>
    <w:unhideWhenUsed/>
    <w:qFormat/>
    <w:uiPriority w:val="99"/>
    <w:rPr>
      <w:sz w:val="16"/>
      <w:szCs w:val="16"/>
    </w:rPr>
  </w:style>
  <w:style w:type="character" w:customStyle="1" w:styleId="30">
    <w:name w:val="批注框文本 Char"/>
    <w:link w:val="18"/>
    <w:semiHidden/>
    <w:qFormat/>
    <w:uiPriority w:val="99"/>
    <w:rPr>
      <w:rFonts w:ascii="Tahoma" w:hAnsi="Tahoma" w:cs="Tahoma"/>
      <w:sz w:val="16"/>
      <w:szCs w:val="16"/>
    </w:rPr>
  </w:style>
  <w:style w:type="character" w:customStyle="1" w:styleId="31">
    <w:name w:val="标题 1 Char"/>
    <w:link w:val="2"/>
    <w:qFormat/>
    <w:uiPriority w:val="99"/>
    <w:rPr>
      <w:rFonts w:ascii="Arial" w:hAnsi="Arial" w:eastAsia="黑体"/>
      <w:b/>
      <w:bCs/>
      <w:sz w:val="30"/>
      <w:szCs w:val="30"/>
      <w:lang w:val="zh-CN" w:eastAsia="zh-CN"/>
    </w:rPr>
  </w:style>
  <w:style w:type="character" w:customStyle="1" w:styleId="32">
    <w:name w:val="页眉 Char"/>
    <w:link w:val="20"/>
    <w:qFormat/>
    <w:uiPriority w:val="99"/>
    <w:rPr>
      <w:rFonts w:ascii="Arial" w:hAnsi="Arial" w:eastAsia="MS Mincho"/>
      <w:b/>
      <w:szCs w:val="24"/>
      <w:lang w:eastAsia="en-US"/>
    </w:rPr>
  </w:style>
  <w:style w:type="paragraph" w:customStyle="1" w:styleId="33">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4">
    <w:name w:val="批注文字 Char"/>
    <w:basedOn w:val="25"/>
    <w:link w:val="11"/>
    <w:qFormat/>
    <w:uiPriority w:val="99"/>
  </w:style>
  <w:style w:type="character" w:customStyle="1" w:styleId="35">
    <w:name w:val="批注主题 Char"/>
    <w:link w:val="22"/>
    <w:semiHidden/>
    <w:qFormat/>
    <w:uiPriority w:val="99"/>
    <w:rPr>
      <w:b/>
      <w:bCs/>
    </w:rPr>
  </w:style>
  <w:style w:type="character" w:customStyle="1" w:styleId="36">
    <w:name w:val="文档结构图 Char"/>
    <w:link w:val="10"/>
    <w:semiHidden/>
    <w:qFormat/>
    <w:uiPriority w:val="99"/>
    <w:rPr>
      <w:rFonts w:ascii="宋体"/>
      <w:sz w:val="18"/>
      <w:szCs w:val="18"/>
    </w:rPr>
  </w:style>
  <w:style w:type="character" w:customStyle="1" w:styleId="37">
    <w:name w:val="正文文本 Char"/>
    <w:link w:val="12"/>
    <w:qFormat/>
    <w:uiPriority w:val="0"/>
    <w:rPr>
      <w:rFonts w:ascii="Times New Roman" w:hAnsi="Times New Roman"/>
      <w:color w:val="0000FF"/>
      <w:kern w:val="2"/>
      <w:sz w:val="21"/>
    </w:rPr>
  </w:style>
  <w:style w:type="character" w:customStyle="1" w:styleId="38">
    <w:name w:val="题注 Char"/>
    <w:link w:val="9"/>
    <w:qFormat/>
    <w:uiPriority w:val="0"/>
    <w:rPr>
      <w:rFonts w:ascii="Times New Roman" w:hAnsi="Times New Roman"/>
      <w:b/>
      <w:bCs/>
      <w:lang w:val="en-GB" w:eastAsia="sv-SE"/>
    </w:rPr>
  </w:style>
  <w:style w:type="paragraph" w:customStyle="1" w:styleId="39">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0">
    <w:name w:val="页脚 Char"/>
    <w:link w:val="19"/>
    <w:qFormat/>
    <w:uiPriority w:val="99"/>
    <w:rPr>
      <w:sz w:val="18"/>
      <w:szCs w:val="18"/>
    </w:rPr>
  </w:style>
  <w:style w:type="character" w:customStyle="1" w:styleId="41">
    <w:name w:val="标题 2 Char"/>
    <w:link w:val="3"/>
    <w:qFormat/>
    <w:uiPriority w:val="0"/>
    <w:rPr>
      <w:rFonts w:ascii="Cambria" w:hAnsi="Cambria"/>
      <w:b/>
      <w:bCs/>
      <w:sz w:val="32"/>
      <w:szCs w:val="32"/>
      <w:lang w:val="en-US" w:eastAsia="zh-CN"/>
    </w:rPr>
  </w:style>
  <w:style w:type="character" w:customStyle="1" w:styleId="42">
    <w:name w:val="标题 3 Char"/>
    <w:link w:val="4"/>
    <w:semiHidden/>
    <w:qFormat/>
    <w:uiPriority w:val="9"/>
    <w:rPr>
      <w:b/>
      <w:bCs/>
      <w:sz w:val="32"/>
      <w:szCs w:val="32"/>
    </w:rPr>
  </w:style>
  <w:style w:type="paragraph" w:customStyle="1" w:styleId="4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4">
    <w:name w:val="z-Top of Form1"/>
    <w:basedOn w:val="1"/>
    <w:next w:val="1"/>
    <w:link w:val="45"/>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5">
    <w:name w:val="z-窗体顶端 Char"/>
    <w:link w:val="44"/>
    <w:semiHidden/>
    <w:qFormat/>
    <w:uiPriority w:val="99"/>
    <w:rPr>
      <w:rFonts w:ascii="Arial" w:hAnsi="Arial" w:cs="Arial"/>
      <w:vanish/>
      <w:sz w:val="16"/>
      <w:szCs w:val="16"/>
    </w:rPr>
  </w:style>
  <w:style w:type="character" w:customStyle="1" w:styleId="46">
    <w:name w:val="hps"/>
    <w:basedOn w:val="25"/>
    <w:qFormat/>
    <w:uiPriority w:val="0"/>
  </w:style>
  <w:style w:type="paragraph" w:customStyle="1" w:styleId="47">
    <w:name w:val="z-Bottom of Form1"/>
    <w:basedOn w:val="1"/>
    <w:next w:val="1"/>
    <w:link w:val="48"/>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8">
    <w:name w:val="z-窗体底端 Char"/>
    <w:link w:val="47"/>
    <w:semiHidden/>
    <w:qFormat/>
    <w:uiPriority w:val="99"/>
    <w:rPr>
      <w:rFonts w:ascii="Arial" w:hAnsi="Arial" w:cs="Arial"/>
      <w:vanish/>
      <w:sz w:val="16"/>
      <w:szCs w:val="16"/>
    </w:rPr>
  </w:style>
  <w:style w:type="character" w:customStyle="1" w:styleId="49">
    <w:name w:val="日期 Char"/>
    <w:link w:val="17"/>
    <w:semiHidden/>
    <w:qFormat/>
    <w:uiPriority w:val="99"/>
    <w:rPr>
      <w:sz w:val="22"/>
      <w:szCs w:val="22"/>
    </w:rPr>
  </w:style>
  <w:style w:type="paragraph" w:customStyle="1" w:styleId="50">
    <w:name w:val="List Paragraph1"/>
    <w:basedOn w:val="1"/>
    <w:link w:val="64"/>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1">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2">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3">
    <w:name w:val="short_text"/>
    <w:basedOn w:val="25"/>
    <w:qFormat/>
    <w:uiPriority w:val="0"/>
  </w:style>
  <w:style w:type="paragraph" w:customStyle="1" w:styleId="54">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5">
    <w:name w:val="纯文本 Char"/>
    <w:link w:val="16"/>
    <w:qFormat/>
    <w:uiPriority w:val="99"/>
    <w:rPr>
      <w:rFonts w:eastAsia="Calibri"/>
      <w:sz w:val="22"/>
      <w:szCs w:val="21"/>
      <w:lang w:val="en-GB" w:eastAsia="en-US"/>
    </w:rPr>
  </w:style>
  <w:style w:type="paragraph" w:customStyle="1" w:styleId="56">
    <w:name w:val="TAH"/>
    <w:basedOn w:val="57"/>
    <w:link w:val="77"/>
    <w:qFormat/>
    <w:uiPriority w:val="0"/>
    <w:rPr>
      <w:b/>
    </w:rPr>
  </w:style>
  <w:style w:type="paragraph" w:customStyle="1" w:styleId="57">
    <w:name w:val="TAC"/>
    <w:basedOn w:val="58"/>
    <w:qFormat/>
    <w:uiPriority w:val="0"/>
    <w:pPr>
      <w:spacing w:line="240" w:lineRule="auto"/>
      <w:jc w:val="center"/>
    </w:pPr>
    <w:rPr>
      <w:szCs w:val="20"/>
      <w:lang w:val="en-GB" w:eastAsia="en-US"/>
    </w:rPr>
  </w:style>
  <w:style w:type="paragraph" w:customStyle="1" w:styleId="58">
    <w:name w:val="TAL"/>
    <w:basedOn w:val="1"/>
    <w:qFormat/>
    <w:uiPriority w:val="0"/>
    <w:pPr>
      <w:keepNext/>
      <w:keepLines/>
      <w:spacing w:after="0"/>
    </w:pPr>
    <w:rPr>
      <w:rFonts w:ascii="Arial" w:hAnsi="Arial"/>
      <w:sz w:val="18"/>
    </w:rPr>
  </w:style>
  <w:style w:type="paragraph" w:customStyle="1" w:styleId="59">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0">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1">
    <w:name w:val="标题 4 Char"/>
    <w:link w:val="5"/>
    <w:qFormat/>
    <w:uiPriority w:val="0"/>
    <w:rPr>
      <w:rFonts w:ascii="Times New Roman" w:hAnsi="Times New Roman"/>
      <w:b/>
      <w:sz w:val="28"/>
      <w:szCs w:val="28"/>
      <w:lang w:val="en-GB"/>
    </w:rPr>
  </w:style>
  <w:style w:type="character" w:customStyle="1" w:styleId="62">
    <w:name w:val="标题 5 Char"/>
    <w:link w:val="6"/>
    <w:qFormat/>
    <w:uiPriority w:val="0"/>
    <w:rPr>
      <w:rFonts w:ascii="Times New Roman" w:hAnsi="Times New Roman"/>
      <w:b/>
      <w:sz w:val="24"/>
      <w:szCs w:val="24"/>
      <w:lang w:val="en-GB"/>
    </w:rPr>
  </w:style>
  <w:style w:type="character" w:customStyle="1" w:styleId="63">
    <w:name w:val="apple-converted-space"/>
    <w:basedOn w:val="25"/>
    <w:qFormat/>
    <w:uiPriority w:val="0"/>
  </w:style>
  <w:style w:type="character" w:customStyle="1" w:styleId="64">
    <w:name w:val="列出段落 Char"/>
    <w:link w:val="50"/>
    <w:qFormat/>
    <w:locked/>
    <w:uiPriority w:val="34"/>
    <w:rPr>
      <w:rFonts w:ascii="Times New Roman" w:hAnsi="Times New Roman"/>
      <w:kern w:val="2"/>
      <w:sz w:val="21"/>
      <w:szCs w:val="24"/>
    </w:rPr>
  </w:style>
  <w:style w:type="character" w:customStyle="1" w:styleId="65">
    <w:name w:val="keyword"/>
    <w:basedOn w:val="25"/>
    <w:qFormat/>
    <w:uiPriority w:val="0"/>
  </w:style>
  <w:style w:type="paragraph" w:customStyle="1" w:styleId="66">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7">
    <w:name w:val="Doc-text2"/>
    <w:basedOn w:val="1"/>
    <w:link w:val="68"/>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8">
    <w:name w:val="Doc-text2 Char"/>
    <w:link w:val="67"/>
    <w:qFormat/>
    <w:uiPriority w:val="0"/>
    <w:rPr>
      <w:rFonts w:ascii="Arial" w:hAnsi="Arial" w:eastAsia="MS Mincho"/>
      <w:szCs w:val="24"/>
      <w:lang w:val="en-GB" w:eastAsia="en-GB"/>
    </w:rPr>
  </w:style>
  <w:style w:type="character" w:customStyle="1" w:styleId="69">
    <w:name w:val="正文文本缩进 Char"/>
    <w:basedOn w:val="25"/>
    <w:link w:val="13"/>
    <w:semiHidden/>
    <w:qFormat/>
    <w:uiPriority w:val="99"/>
    <w:rPr>
      <w:sz w:val="22"/>
      <w:szCs w:val="22"/>
    </w:rPr>
  </w:style>
  <w:style w:type="paragraph" w:customStyle="1" w:styleId="70">
    <w:name w:val="main text"/>
    <w:basedOn w:val="1"/>
    <w:link w:val="71"/>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1">
    <w:name w:val="main text Char"/>
    <w:link w:val="70"/>
    <w:qFormat/>
    <w:uiPriority w:val="0"/>
    <w:rPr>
      <w:rFonts w:ascii="Times New Roman" w:hAnsi="Times New Roman" w:eastAsia="Malgun Gothic"/>
      <w:lang w:val="en-GB" w:eastAsia="ko-KR"/>
    </w:rPr>
  </w:style>
  <w:style w:type="paragraph" w:customStyle="1" w:styleId="72">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3">
    <w:name w:val="样式 正文缩进d + 首行缩进:  2 字符 段前: 0.35 行"/>
    <w:basedOn w:val="8"/>
    <w:link w:val="74"/>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4">
    <w:name w:val="样式 正文缩进d + 首行缩进:  2 字符 段前: 0.35 行 Char"/>
    <w:link w:val="73"/>
    <w:qFormat/>
    <w:uiPriority w:val="0"/>
    <w:rPr>
      <w:rFonts w:ascii="Times New Roman" w:hAnsi="Times New Roman" w:eastAsia="楷体_GB2312"/>
      <w:snapToGrid w:val="0"/>
      <w:sz w:val="28"/>
    </w:rPr>
  </w:style>
  <w:style w:type="paragraph" w:customStyle="1" w:styleId="75">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6">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7">
    <w:name w:val="TAH Car"/>
    <w:link w:val="56"/>
    <w:qFormat/>
    <w:uiPriority w:val="0"/>
    <w:rPr>
      <w:rFonts w:ascii="Arial" w:hAnsi="Arial"/>
      <w:b/>
      <w:sz w:val="18"/>
      <w:lang w:val="en-GB" w:eastAsia="en-US"/>
    </w:rPr>
  </w:style>
  <w:style w:type="paragraph" w:customStyle="1" w:styleId="78">
    <w:name w:val="_Style 1"/>
    <w:basedOn w:val="1"/>
    <w:qFormat/>
    <w:uiPriority w:val="34"/>
    <w:pPr>
      <w:ind w:left="840" w:leftChars="400"/>
    </w:pPr>
  </w:style>
  <w:style w:type="paragraph" w:customStyle="1" w:styleId="79">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0">
    <w:name w:val="B1"/>
    <w:basedOn w:val="15"/>
    <w:link w:val="83"/>
    <w:qFormat/>
    <w:uiPriority w:val="0"/>
  </w:style>
  <w:style w:type="paragraph" w:customStyle="1" w:styleId="81">
    <w:name w:val="EQ"/>
    <w:basedOn w:val="1"/>
    <w:next w:val="1"/>
    <w:unhideWhenUsed/>
    <w:qFormat/>
    <w:uiPriority w:val="0"/>
    <w:pPr>
      <w:keepLines/>
      <w:tabs>
        <w:tab w:val="center" w:pos="4536"/>
        <w:tab w:val="right" w:pos="9072"/>
      </w:tabs>
    </w:pPr>
    <w:rPr>
      <w:sz w:val="24"/>
    </w:rPr>
  </w:style>
  <w:style w:type="paragraph" w:customStyle="1" w:styleId="82">
    <w:name w:val="List Paragraph2"/>
    <w:basedOn w:val="1"/>
    <w:qFormat/>
    <w:uiPriority w:val="99"/>
    <w:pPr>
      <w:ind w:firstLine="420" w:firstLineChars="200"/>
    </w:pPr>
  </w:style>
  <w:style w:type="character" w:customStyle="1" w:styleId="83">
    <w:name w:val="B1 (文字)"/>
    <w:link w:val="80"/>
    <w:qFormat/>
    <w:locked/>
    <w:uiPriority w:val="99"/>
    <w:rPr>
      <w:rFonts w:ascii="Calibri" w:hAnsi="Calibri" w:eastAsiaTheme="minorEastAsia"/>
      <w:sz w:val="22"/>
      <w:szCs w:val="22"/>
    </w:rPr>
  </w:style>
  <w:style w:type="paragraph" w:customStyle="1" w:styleId="8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5">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6">
    <w:name w:val="列出段落2"/>
    <w:basedOn w:val="1"/>
    <w:qFormat/>
    <w:uiPriority w:val="99"/>
    <w:pPr>
      <w:ind w:firstLine="420" w:firstLineChars="200"/>
    </w:pPr>
  </w:style>
  <w:style w:type="paragraph" w:customStyle="1" w:styleId="87">
    <w:name w:val="3GPP Agreements"/>
    <w:basedOn w:val="1"/>
    <w:qFormat/>
    <w:uiPriority w:val="0"/>
    <w:pPr>
      <w:numPr>
        <w:ilvl w:val="0"/>
        <w:numId w:val="2"/>
      </w:numPr>
      <w:spacing w:before="60" w:after="60"/>
      <w:jc w:val="both"/>
    </w:pPr>
  </w:style>
  <w:style w:type="character" w:customStyle="1" w:styleId="88">
    <w:name w:val="normaltextrun"/>
    <w:qFormat/>
    <w:uiPriority w:val="0"/>
  </w:style>
  <w:style w:type="character" w:customStyle="1" w:styleId="89">
    <w:name w:val="spellingerror"/>
    <w:qFormat/>
    <w:uiPriority w:val="0"/>
  </w:style>
  <w:style w:type="paragraph" w:styleId="90">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1">
    <w:name w:val="10"/>
    <w:basedOn w:val="25"/>
    <w:qFormat/>
    <w:uiPriority w:val="0"/>
    <w:rPr>
      <w:rFonts w:hint="default" w:ascii="Times New Roman" w:hAnsi="Times New Roman" w:cs="Times New Roman"/>
    </w:rPr>
  </w:style>
  <w:style w:type="character" w:customStyle="1" w:styleId="92">
    <w:name w:val="15"/>
    <w:basedOn w:val="25"/>
    <w:qFormat/>
    <w:uiPriority w:val="0"/>
    <w:rPr>
      <w:rFonts w:hint="default" w:ascii="Times New Roman" w:hAnsi="Times New Roman" w:cs="Times New Roman"/>
    </w:rPr>
  </w:style>
  <w:style w:type="paragraph" w:customStyle="1" w:styleId="93">
    <w:name w:val="TAL+B1"/>
    <w:basedOn w:val="58"/>
    <w:qFormat/>
    <w:uiPriority w:val="0"/>
    <w:pPr>
      <w:widowControl w:val="0"/>
      <w:spacing w:before="100" w:beforeAutospacing="1" w:line="240" w:lineRule="auto"/>
      <w:ind w:left="284"/>
    </w:pPr>
    <w:rPr>
      <w:rFonts w:eastAsia="Times New Roman"/>
      <w:szCs w:val="18"/>
    </w:rPr>
  </w:style>
  <w:style w:type="paragraph" w:customStyle="1" w:styleId="94">
    <w:name w:val="TAL+B2"/>
    <w:basedOn w:val="93"/>
    <w:qFormat/>
    <w:uiPriority w:val="0"/>
    <w:pPr>
      <w:ind w:left="568"/>
    </w:pPr>
  </w:style>
  <w:style w:type="paragraph" w:customStyle="1" w:styleId="95">
    <w:name w:val="TAL+B3"/>
    <w:basedOn w:val="94"/>
    <w:qFormat/>
    <w:uiPriority w:val="0"/>
    <w:pPr>
      <w:ind w:left="852"/>
    </w:pPr>
  </w:style>
  <w:style w:type="paragraph" w:customStyle="1" w:styleId="96">
    <w:name w:val="TAL+B4"/>
    <w:basedOn w:val="95"/>
    <w:qFormat/>
    <w:uiPriority w:val="0"/>
    <w:pPr>
      <w:ind w:left="1136"/>
    </w:pPr>
  </w:style>
  <w:style w:type="paragraph" w:customStyle="1" w:styleId="97">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98">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99">
    <w:name w:val="EmailDiscussion"/>
    <w:basedOn w:val="1"/>
    <w:next w:val="98"/>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0">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1">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3">
    <w:name w:val="Revision"/>
    <w:hidden/>
    <w:semiHidden/>
    <w:qFormat/>
    <w:uiPriority w:val="99"/>
    <w:rPr>
      <w:rFonts w:ascii="Calibri" w:hAnsi="Calibri" w:cs="Times New Roman" w:eastAsiaTheme="minorEastAsia"/>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966BB1-9BEB-4E7B-846E-968739C46EC0}">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16</Pages>
  <Words>4107</Words>
  <Characters>23415</Characters>
  <Lines>195</Lines>
  <Paragraphs>54</Paragraphs>
  <TotalTime>0</TotalTime>
  <ScaleCrop>false</ScaleCrop>
  <LinksUpToDate>false</LinksUpToDate>
  <CharactersWithSpaces>27468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2022-09-30T06:51:28Z</dcterms:modified>
  <cp:revision>358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